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pašalinimo pagrindams ir kvalifikacijai</w:t>
      </w:r>
    </w:p>
    <w:p>
      <w:pPr>
        <w:pStyle w:val="ListParagraph"/>
        <w:spacing w:lineRule="auto" w:line="240" w:before="0" w:after="0"/>
        <w:ind w:firstLine="567" w:left="0"/>
        <w:contextualSpacing/>
        <w:jc w:val="both"/>
        <w:rPr>
          <w:rFonts w:ascii="Arial" w:hAnsi="Arial" w:cs="Arial"/>
        </w:rPr>
      </w:pPr>
      <w:r>
        <w:rPr>
          <w:rFonts w:cs="Arial" w:ascii="Arial" w:hAnsi="Arial"/>
        </w:rPr>
      </w:r>
    </w:p>
    <w:p>
      <w:pPr>
        <w:pStyle w:val="ListParagraph"/>
        <w:spacing w:lineRule="auto" w:line="240" w:before="0" w:after="0"/>
        <w:ind w:firstLine="567" w:left="0"/>
        <w:contextualSpacing/>
        <w:jc w:val="both"/>
        <w:rPr>
          <w:rFonts w:ascii="Arial" w:hAnsi="Arial" w:cs="Arial"/>
        </w:rPr>
      </w:pPr>
      <w:r>
        <w:rPr>
          <w:rFonts w:cs="Arial" w:ascii="Arial" w:hAnsi="Arial"/>
        </w:rPr>
        <w:t xml:space="preserve">Tiekėjas turi neatitikti žemiau nurodytų reikalavimų dėl pašalinimo pagrindų </w:t>
      </w:r>
      <w:r>
        <w:rPr>
          <w:rFonts w:cs="Arial" w:ascii="Arial" w:hAnsi="Arial"/>
          <w:i/>
          <w:iCs/>
        </w:rPr>
        <w:t>(1 lentelė Eil. Nr. 1-14)</w:t>
      </w:r>
      <w:bookmarkStart w:id="0" w:name="_Hlk160020969"/>
      <w:r>
        <w:rPr>
          <w:rFonts w:cs="Arial" w:ascii="Arial" w:hAnsi="Arial"/>
        </w:rPr>
        <w:t>.</w:t>
      </w:r>
      <w:bookmarkEnd w:id="0"/>
    </w:p>
    <w:tbl>
      <w:tblPr>
        <w:tblpPr w:vertAnchor="text" w:horzAnchor="margin" w:tblpXSpec="center" w:leftFromText="180" w:rightFromText="180" w:tblpY="409"/>
        <w:tblOverlap w:val="neve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697"/>
        <w:gridCol w:w="5184"/>
        <w:gridCol w:w="1682"/>
        <w:gridCol w:w="4913"/>
        <w:gridCol w:w="2094"/>
      </w:tblGrid>
      <w:tr>
        <w:trPr/>
        <w:tc>
          <w:tcPr>
            <w:tcW w:w="14570" w:type="dxa"/>
            <w:gridSpan w:val="5"/>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1 lentelė. Tiekėjų pašalinimo pagrindai</w:t>
            </w:r>
          </w:p>
        </w:tc>
      </w:tr>
      <w:tr>
        <w:trPr>
          <w:trHeight w:val="1717" w:hRule="atLeast"/>
        </w:trPr>
        <w:tc>
          <w:tcPr>
            <w:tcW w:w="697"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Eil. Nr.</w:t>
            </w:r>
          </w:p>
        </w:tc>
        <w:tc>
          <w:tcPr>
            <w:tcW w:w="518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eastAsia="Yu Mincho" w:cs="Arial" w:ascii="Arial" w:hAnsi="Arial"/>
                <w:b/>
                <w:lang w:eastAsia="lt-LT"/>
              </w:rPr>
              <w:t>Tiekėjo pašalinimo pagrindai</w:t>
            </w:r>
          </w:p>
        </w:tc>
        <w:tc>
          <w:tcPr>
            <w:tcW w:w="168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eastAsia="Yu Mincho" w:cs="Arial" w:ascii="Arial" w:hAnsi="Arial"/>
                <w:b/>
              </w:rPr>
              <w:t>VPĮ straipsnis,  dalis, punktas bei EBVPD formos dalis pildymui</w:t>
            </w:r>
          </w:p>
        </w:tc>
        <w:tc>
          <w:tcPr>
            <w:tcW w:w="4913"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Pašalinimo pagrindų nebuvimą įrodantys dokumentai</w:t>
            </w:r>
          </w:p>
        </w:tc>
        <w:tc>
          <w:tcPr>
            <w:tcW w:w="209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Subjektas ir / ar ūkio subjektas, kurio pajėgumais remiamasi,  kuris / -ie turi neturėti pašalinimo pagrindų</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b/>
                <w:bCs/>
                <w:sz w:val="22"/>
                <w:szCs w:val="22"/>
                <w:lang w:eastAsia="en-US"/>
              </w:rPr>
            </w:pPr>
            <w:r>
              <w:rPr>
                <w:rFonts w:cs="Arial" w:ascii="Arial" w:hAnsi="Arial"/>
                <w:bCs/>
                <w:sz w:val="22"/>
                <w:szCs w:val="22"/>
                <w:lang w:eastAsia="en-US"/>
              </w:rPr>
              <w:t>1) dalyvavimą nusikalstamame susivienijime, jo organizavimą ar vadovavimą jam;</w:t>
            </w:r>
          </w:p>
          <w:p>
            <w:pPr>
              <w:pStyle w:val="NoSpacing"/>
              <w:jc w:val="both"/>
              <w:rPr>
                <w:rFonts w:ascii="Arial" w:hAnsi="Arial" w:cs="Arial"/>
                <w:b/>
                <w:bCs/>
                <w:sz w:val="22"/>
                <w:szCs w:val="22"/>
                <w:lang w:eastAsia="en-US"/>
              </w:rPr>
            </w:pPr>
            <w:r>
              <w:rPr>
                <w:rFonts w:cs="Arial" w:ascii="Arial" w:hAnsi="Arial"/>
                <w:bCs/>
                <w:sz w:val="22"/>
                <w:szCs w:val="22"/>
                <w:lang w:eastAsia="en-US"/>
              </w:rPr>
              <w:t>2) kyšininkavimą, prekybą poveikiu, papirkimą;</w:t>
            </w:r>
          </w:p>
          <w:p>
            <w:pPr>
              <w:pStyle w:val="NoSpacing"/>
              <w:jc w:val="both"/>
              <w:rPr>
                <w:rFonts w:ascii="Arial" w:hAnsi="Arial" w:cs="Arial"/>
                <w:b/>
                <w:bCs/>
                <w:sz w:val="22"/>
                <w:szCs w:val="22"/>
                <w:lang w:eastAsia="en-US"/>
              </w:rPr>
            </w:pPr>
            <w:r>
              <w:rPr>
                <w:rFonts w:cs="Arial" w:ascii="Arial" w:hAnsi="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2"/>
                <w:szCs w:val="22"/>
                <w:lang w:eastAsia="en-US"/>
              </w:rPr>
            </w:pPr>
            <w:r>
              <w:rPr>
                <w:rFonts w:cs="Arial" w:ascii="Arial" w:hAnsi="Arial"/>
                <w:bCs/>
                <w:sz w:val="22"/>
                <w:szCs w:val="22"/>
                <w:lang w:eastAsia="en-US"/>
              </w:rPr>
              <w:t>4) nusikalstamą bankrotą;</w:t>
            </w:r>
          </w:p>
          <w:p>
            <w:pPr>
              <w:pStyle w:val="NoSpacing"/>
              <w:jc w:val="both"/>
              <w:rPr>
                <w:rFonts w:ascii="Arial" w:hAnsi="Arial" w:cs="Arial"/>
                <w:b/>
                <w:bCs/>
                <w:sz w:val="22"/>
                <w:szCs w:val="22"/>
                <w:lang w:eastAsia="en-US"/>
              </w:rPr>
            </w:pPr>
            <w:r>
              <w:rPr>
                <w:rFonts w:cs="Arial" w:ascii="Arial" w:hAnsi="Arial"/>
                <w:bCs/>
                <w:sz w:val="22"/>
                <w:szCs w:val="22"/>
                <w:lang w:eastAsia="en-US"/>
              </w:rPr>
              <w:t>5) teroristinį ir su teroristine veikla susijusį nusikaltimą;</w:t>
            </w:r>
          </w:p>
          <w:p>
            <w:pPr>
              <w:pStyle w:val="NoSpacing"/>
              <w:jc w:val="both"/>
              <w:rPr>
                <w:rFonts w:ascii="Arial" w:hAnsi="Arial" w:cs="Arial"/>
                <w:b/>
                <w:bCs/>
                <w:sz w:val="22"/>
                <w:szCs w:val="22"/>
                <w:lang w:eastAsia="en-US"/>
              </w:rPr>
            </w:pPr>
            <w:r>
              <w:rPr>
                <w:rFonts w:cs="Arial" w:ascii="Arial" w:hAnsi="Arial"/>
                <w:bCs/>
                <w:sz w:val="22"/>
                <w:szCs w:val="22"/>
                <w:lang w:eastAsia="en-US"/>
              </w:rPr>
              <w:t>6) nusikalstamu būdu gauto turto legalizavimą;</w:t>
            </w:r>
          </w:p>
          <w:p>
            <w:pPr>
              <w:pStyle w:val="NoSpacing"/>
              <w:jc w:val="both"/>
              <w:rPr>
                <w:rFonts w:ascii="Arial" w:hAnsi="Arial" w:cs="Arial"/>
                <w:b/>
                <w:bCs/>
                <w:sz w:val="22"/>
                <w:szCs w:val="22"/>
                <w:lang w:eastAsia="en-US"/>
              </w:rPr>
            </w:pPr>
            <w:r>
              <w:rPr>
                <w:rFonts w:cs="Arial" w:ascii="Arial" w:hAnsi="Arial"/>
                <w:bCs/>
                <w:sz w:val="22"/>
                <w:szCs w:val="22"/>
                <w:lang w:eastAsia="en-US"/>
              </w:rPr>
              <w:t>7) prekybą žmonėmis, vaiko pirkimą arba pardavimą;</w:t>
            </w:r>
          </w:p>
          <w:p>
            <w:pPr>
              <w:pStyle w:val="NoSpacing"/>
              <w:jc w:val="both"/>
              <w:rPr>
                <w:rFonts w:ascii="Arial" w:hAnsi="Arial" w:cs="Arial"/>
                <w:b/>
                <w:bCs/>
                <w:sz w:val="22"/>
                <w:szCs w:val="22"/>
                <w:lang w:eastAsia="en-US"/>
              </w:rPr>
            </w:pPr>
            <w:r>
              <w:rPr>
                <w:rFonts w:cs="Arial" w:ascii="Arial" w:hAnsi="Arial"/>
                <w:bCs/>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arba jo atsakingas asmuo nuteistas už aukščiau nurodytą nusikalstamą veiką, kai dėl:</w:t>
            </w:r>
          </w:p>
          <w:p>
            <w:pPr>
              <w:pStyle w:val="NoSpacing"/>
              <w:jc w:val="both"/>
              <w:rPr>
                <w:rFonts w:ascii="Arial" w:hAnsi="Arial" w:cs="Arial"/>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color w:val="FF0000"/>
                <w:sz w:val="22"/>
                <w:szCs w:val="22"/>
                <w:lang w:eastAsia="en-US"/>
              </w:rPr>
            </w:pPr>
            <w:r>
              <w:rPr>
                <w:rFonts w:cs="Arial" w:ascii="Arial" w:hAnsi="Arial"/>
                <w:b/>
                <w:color w:val="FF0000"/>
                <w:sz w:val="22"/>
                <w:szCs w:val="22"/>
                <w:lang w:eastAsia="en-US"/>
              </w:rPr>
              <w:t>Tarptautinės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color w:val="00B050"/>
                <w:sz w:val="22"/>
                <w:szCs w:val="22"/>
                <w:lang w:eastAsia="en-US"/>
              </w:rPr>
            </w:pPr>
            <w:r>
              <w:rPr>
                <w:rFonts w:cs="Arial" w:ascii="Arial" w:hAnsi="Arial"/>
                <w:color w:val="00B050"/>
                <w:sz w:val="22"/>
                <w:szCs w:val="22"/>
                <w:lang w:eastAsia="en-US"/>
              </w:rPr>
            </w:r>
          </w:p>
          <w:p>
            <w:pPr>
              <w:pStyle w:val="NoSpacing"/>
              <w:jc w:val="both"/>
              <w:rPr>
                <w:rFonts w:ascii="Arial" w:hAnsi="Arial" w:cs="Arial"/>
                <w:color w:val="00B050"/>
                <w:sz w:val="22"/>
                <w:szCs w:val="22"/>
                <w:lang w:eastAsia="en-US"/>
              </w:rPr>
            </w:pPr>
            <w:r>
              <w:rPr>
                <w:rFonts w:cs="Arial" w:ascii="Arial" w:hAnsi="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rmal"/>
              <w:spacing w:lineRule="auto" w:line="240" w:before="0" w:after="0"/>
              <w:jc w:val="both"/>
              <w:rPr>
                <w:rFonts w:ascii="Arial" w:hAnsi="Arial" w:cs="Arial"/>
                <w:bCs/>
              </w:rPr>
            </w:pPr>
            <w:r>
              <w:rPr>
                <w:rFonts w:eastAsia="Yu Mincho" w:cs="Arial" w:ascii="Arial" w:hAnsi="Arial"/>
              </w:rPr>
              <w:t>EBVPD III dalies D1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1) Iš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ind w:left="314"/>
              <w:jc w:val="both"/>
              <w:rPr>
                <w:rFonts w:ascii="Arial" w:hAnsi="Arial" w:cs="Arial"/>
              </w:rPr>
            </w:pPr>
            <w:r>
              <w:rPr>
                <w:rFonts w:cs="Arial" w:ascii="Arial" w:hAnsi="Arial"/>
              </w:rPr>
              <w:t xml:space="preserve">Nurodyti dokumentai turi būti išduoti ne anksčiau kaip </w:t>
            </w:r>
            <w:r>
              <w:rPr>
                <w:rFonts w:cs="Arial" w:ascii="Arial" w:hAnsi="Arial"/>
                <w:color w:val="00B050"/>
              </w:rPr>
              <w:t xml:space="preserve">180 dienų </w:t>
            </w:r>
            <w:r>
              <w:rPr>
                <w:rFonts w:cs="Arial" w:ascii="Arial" w:hAnsi="Arial"/>
              </w:rPr>
              <w:t xml:space="preserve">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rmal"/>
              <w:spacing w:lineRule="auto" w:line="240" w:before="0" w:after="0"/>
              <w:ind w:left="314"/>
              <w:jc w:val="both"/>
              <w:rPr>
                <w:rFonts w:ascii="Arial" w:hAnsi="Arial" w:cs="Arial"/>
              </w:rPr>
            </w:pPr>
            <w:r>
              <w:rPr>
                <w:rFonts w:cs="Arial" w:ascii="Arial" w:hAnsi="Arial"/>
              </w:rPr>
            </w:r>
          </w:p>
          <w:p>
            <w:pPr>
              <w:pStyle w:val="NoSpacing"/>
              <w:jc w:val="both"/>
              <w:rPr>
                <w:rFonts w:ascii="Arial" w:hAnsi="Arial" w:cs="Arial"/>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rmal"/>
              <w:spacing w:lineRule="auto" w:line="240" w:before="0" w:after="0"/>
              <w:jc w:val="both"/>
              <w:rPr>
                <w:rFonts w:ascii="Arial" w:hAnsi="Arial" w:cs="Arial"/>
                <w:bCs/>
              </w:rPr>
            </w:pPr>
            <w:r>
              <w:rPr>
                <w:rFonts w:cs="Arial" w:ascii="Arial" w:hAnsi="Arial"/>
                <w:bCs/>
              </w:rPr>
              <w:t xml:space="preserve">2) </w:t>
            </w:r>
            <w:r>
              <w:rPr>
                <w:rFonts w:cs="Arial" w:ascii="Arial" w:hAnsi="Arial"/>
                <w:b/>
              </w:rPr>
              <w:t>Deklaracija dėl tiekėjo atsakingų asmenų</w:t>
            </w:r>
            <w:r>
              <w:rPr>
                <w:rFonts w:cs="Arial" w:ascii="Arial" w:hAnsi="Arial"/>
                <w:bCs/>
              </w:rPr>
              <w:t xml:space="preserve"> (pildomas Atviro konkurso Specialiųjų sąlygų </w:t>
            </w:r>
            <w:r>
              <w:rPr>
                <w:rFonts w:cs="Arial" w:ascii="Arial" w:hAnsi="Arial"/>
                <w:bCs/>
              </w:rPr>
              <w:t>9</w:t>
            </w:r>
            <w:r>
              <w:rPr>
                <w:rFonts w:cs="Arial" w:ascii="Arial" w:hAnsi="Arial"/>
                <w:bCs/>
              </w:rPr>
              <w:t xml:space="preserve"> priedas „Deklaracija dėl tiekėjo atsakingų asmenų“).</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
              </w:rPr>
              <w:t>Pastaba.</w:t>
            </w:r>
            <w:r>
              <w:rPr>
                <w:rFonts w:cs="Arial" w:ascii="Arial" w:hAnsi="Arial"/>
                <w:bCs/>
              </w:rPr>
              <w:t xml:space="preserve"> Jei deklaracijoje nurodysite atsakingus fizinius asmenis, prašome pateikti dokumentus (neteistumo pažymas), patvirtinančius deklaracijoje nurodytų atsakingų asmenų pašalinimo pagrindų nebuvimą, kaip nurodyta 1) punkte.</w:t>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2.</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lang w:eastAsia="en-US"/>
              </w:rPr>
            </w:pPr>
            <w:r>
              <w:rPr>
                <w:rFonts w:eastAsia="Yu Mincho" w:cs="Arial" w:ascii="Arial" w:hAnsi="Arial"/>
                <w:sz w:val="22"/>
                <w:szCs w:val="22"/>
                <w:lang w:eastAsia="en-US"/>
              </w:rPr>
              <w:t>EBVPD III dalies D2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 xml:space="preserve">Iš Lietuvoje įsteigtų subjektų įrodančių dokumentų nereikalaujama. </w:t>
            </w:r>
            <w:r>
              <w:rPr>
                <w:rFonts w:cs="Arial" w:ascii="Arial" w:hAnsi="Arial"/>
                <w:sz w:val="22"/>
                <w:szCs w:val="22"/>
                <w:lang w:eastAsia="en-US"/>
              </w:rPr>
              <w:t xml:space="preserve">Pakanka </w:t>
            </w:r>
            <w:r>
              <w:rPr>
                <w:rFonts w:cs="Arial" w:ascii="Arial" w:hAnsi="Arial"/>
                <w:sz w:val="22"/>
                <w:szCs w:val="22"/>
                <w:lang w:eastAsia="en-US"/>
              </w:rPr>
              <w:t>pateikto EBVPD.</w:t>
            </w:r>
          </w:p>
          <w:p>
            <w:pPr>
              <w:pStyle w:val="NoSpacing"/>
              <w:jc w:val="both"/>
              <w:rPr>
                <w:rFonts w:ascii="Arial" w:hAnsi="Arial" w:cs="Arial"/>
                <w:sz w:val="22"/>
                <w:szCs w:val="22"/>
                <w:lang w:eastAsia="en-US"/>
              </w:rPr>
            </w:pPr>
            <w:r>
              <w:rPr>
                <w:rFonts w:cs="Arial" w:ascii="Arial" w:hAnsi="Arial"/>
                <w:sz w:val="22"/>
                <w:szCs w:val="22"/>
                <w:lang w:eastAsia="en-U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3.</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lang w:eastAsia="en-US"/>
              </w:rPr>
            </w:pPr>
            <w:r>
              <w:rPr>
                <w:rFonts w:cs="Arial" w:ascii="Arial" w:hAnsi="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t xml:space="preserve"> </w:t>
            </w:r>
            <w:r>
              <w:rPr>
                <w:rFonts w:cs="Arial" w:ascii="Arial" w:hAnsi="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r>
              <w:rPr>
                <w:rFonts w:cs="Arial" w:ascii="Arial" w:hAnsi="Arial"/>
                <w:bCs/>
                <w:sz w:val="22"/>
                <w:szCs w:val="22"/>
                <w:lang w:eastAsia="en-US"/>
              </w:rPr>
              <w:t>2) įsiskolinimo suma neviršija 50 Eur (penkiasdešimt eurų);</w:t>
            </w:r>
          </w:p>
          <w:p>
            <w:pPr>
              <w:pStyle w:val="Normal"/>
              <w:spacing w:lineRule="auto" w:line="240" w:before="0" w:after="0"/>
              <w:jc w:val="both"/>
              <w:rPr>
                <w:rFonts w:ascii="Arial" w:hAnsi="Arial" w:cs="Arial"/>
                <w:bCs/>
              </w:rPr>
            </w:pPr>
            <w:r>
              <w:rPr>
                <w:rFonts w:cs="Arial" w:ascii="Arial" w:hAnsi="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cs="Arial"/>
                <w:bCs/>
                <w:sz w:val="22"/>
                <w:szCs w:val="22"/>
              </w:rPr>
            </w:pPr>
            <w:r>
              <w:rPr>
                <w:rFonts w:eastAsia="Arial" w:cs="Arial" w:ascii="Arial" w:hAnsi="Arial"/>
                <w:sz w:val="22"/>
                <w:szCs w:val="22"/>
              </w:rPr>
              <w:t>EBVPD III dalies B1 ir B2 punktai</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6"/>
              </w:numPr>
              <w:jc w:val="both"/>
              <w:rPr>
                <w:rFonts w:ascii="Arial" w:hAnsi="Arial" w:cs="Arial"/>
                <w:sz w:val="22"/>
                <w:szCs w:val="22"/>
              </w:rPr>
            </w:pPr>
            <w:r>
              <w:rPr>
                <w:rFonts w:cs="Arial" w:ascii="Arial" w:hAnsi="Arial"/>
                <w:sz w:val="22"/>
                <w:szCs w:val="22"/>
              </w:rPr>
              <w:t>išrašo iš teismo sprendimo (jei toks yra) arba Valstybinės mokesčių inspekcijos prie Lietuvos Respublikos finansų ministerijos išduoto dokumento,</w:t>
            </w:r>
          </w:p>
          <w:p>
            <w:pPr>
              <w:pStyle w:val="NoSpacing"/>
              <w:numPr>
                <w:ilvl w:val="0"/>
                <w:numId w:val="5"/>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2"/>
                  <w:szCs w:val="22"/>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Cs/>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94"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4.</w:t>
            </w:r>
          </w:p>
        </w:tc>
        <w:tc>
          <w:tcPr>
            <w:tcW w:w="51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su kitais tiekėjais yra sudaręs susitarimus, kuriais siekiama iškreipti konkurenciją atliekamame pirkime, ir perkančioji organizacija dėl to turi įtikinamų duomenų.</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C10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5.</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 xml:space="preserve">Tiekėjas pirkimo metu pateko į interesų konflikto situaciją, kaip apibrėžta VPĮ 21 straipsnyje, ir atitinkamos padėties negalima ištaisyti. </w:t>
            </w:r>
          </w:p>
          <w:p>
            <w:pPr>
              <w:pStyle w:val="Normal"/>
              <w:spacing w:lineRule="auto" w:line="240" w:before="0" w:after="0"/>
              <w:jc w:val="both"/>
              <w:rPr>
                <w:rFonts w:ascii="Arial" w:hAnsi="Arial" w:cs="Arial"/>
                <w:bCs/>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C12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sz w:val="22"/>
                <w:szCs w:val="22"/>
              </w:rPr>
            </w:pPr>
            <w:r>
              <w:rPr>
                <w:rFonts w:cs="Arial" w:ascii="Arial" w:hAnsi="Arial"/>
                <w:bCs/>
                <w:sz w:val="22"/>
                <w:szCs w:val="22"/>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6.</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lang w:eastAsia="lt-LT"/>
              </w:rPr>
            </w:pPr>
            <w:r>
              <w:rPr>
                <w:rFonts w:cs="Arial" w:ascii="Arial" w:hAnsi="Arial"/>
              </w:rPr>
              <w:t>Pažeista konkurencija, kaip nustatyta VPĮ 27 straipsnio 3 ir 4 dalyse, ir atitinkamos padėties negalima ištaisyti.</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C13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7.</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pPr>
              <w:pStyle w:val="NoSpacing"/>
              <w:jc w:val="both"/>
              <w:rPr>
                <w:rFonts w:ascii="Arial" w:hAnsi="Arial" w:cs="Arial"/>
                <w:bCs/>
                <w:sz w:val="22"/>
                <w:szCs w:val="22"/>
              </w:rPr>
            </w:pPr>
            <w:r>
              <w:rPr>
                <w:rFonts w:cs="Arial" w:ascii="Arial" w:hAnsi="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pPr>
              <w:pStyle w:val="Normal"/>
              <w:spacing w:lineRule="auto" w:line="240" w:before="0" w:after="0"/>
              <w:jc w:val="both"/>
              <w:rPr>
                <w:rFonts w:ascii="Arial" w:hAnsi="Arial" w:cs="Arial"/>
                <w:bCs/>
                <w:lang w:eastAsia="lt-LT"/>
              </w:rPr>
            </w:pPr>
            <w:r>
              <w:rPr>
                <w:rFonts w:cs="Arial" w:ascii="Arial" w:hAnsi="Arial"/>
                <w:bCs/>
                <w:lang w:eastAsia="lt-LT"/>
              </w:rPr>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C15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 xml:space="preserve">Priimant sprendimus dėl tiekėjo pašalinimo iš pirkimo procedūros šiame punkte nurodytu pašalinimo pagrindu, be kita ko, gali būti atsižvelgiama į pagal VPĮ 52 straipsnį skelbiamą informaciją: </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u w:val="single"/>
              </w:rPr>
            </w:pPr>
            <w:hyperlink r:id="rId3">
              <w:r>
                <w:rPr>
                  <w:rStyle w:val="Hyperlink"/>
                  <w:rFonts w:cs="Arial" w:ascii="Arial" w:hAnsi="Arial"/>
                  <w:sz w:val="22"/>
                  <w:szCs w:val="22"/>
                </w:rPr>
                <w:t>https://vpt.lrv.lt/melaginga-informacija-pateikusiu-tiekeju-sarasas-3</w:t>
              </w:r>
            </w:hyperlink>
          </w:p>
          <w:p>
            <w:pPr>
              <w:pStyle w:val="NoSpacing"/>
              <w:jc w:val="both"/>
              <w:rPr>
                <w:rFonts w:ascii="Arial" w:hAnsi="Arial" w:cs="Arial"/>
                <w:bCs/>
                <w:sz w:val="22"/>
                <w:szCs w:val="22"/>
              </w:rPr>
            </w:pPr>
            <w:r>
              <w:rPr>
                <w:rFonts w:cs="Arial" w:ascii="Arial" w:hAnsi="Arial"/>
                <w:bCs/>
                <w:sz w:val="22"/>
                <w:szCs w:val="22"/>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center"/>
              <w:rPr>
                <w:rFonts w:ascii="Arial" w:hAnsi="Arial" w:cs="Arial"/>
                <w:bCs/>
              </w:rPr>
            </w:pPr>
            <w:r>
              <w:rPr>
                <w:rFonts w:cs="Arial" w:ascii="Arial" w:hAnsi="Arial"/>
                <w:bCs/>
              </w:rPr>
              <w:t>8.</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rmal"/>
              <w:spacing w:lineRule="auto" w:line="240" w:before="0" w:after="0"/>
              <w:jc w:val="both"/>
              <w:rPr>
                <w:rFonts w:ascii="Arial" w:hAnsi="Arial" w:cs="Arial"/>
                <w:bCs/>
              </w:rPr>
            </w:pPr>
            <w:r>
              <w:rPr>
                <w:rFonts w:cs="Arial" w:ascii="Arial" w:hAnsi="Arial"/>
                <w:bCs/>
              </w:rPr>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9.</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rPr>
            </w:pPr>
            <w:r>
              <w:rPr>
                <w:rFonts w:cs="Arial" w:ascii="Arial" w:hAnsi="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pPr>
              <w:pStyle w:val="Normal"/>
              <w:spacing w:lineRule="auto" w:line="240" w:before="0" w:after="0"/>
              <w:jc w:val="both"/>
              <w:rPr>
                <w:rFonts w:ascii="Arial" w:hAnsi="Arial" w:cs="Arial"/>
                <w:bCs/>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pPr>
              <w:pStyle w:val="Normal"/>
              <w:spacing w:lineRule="auto" w:line="240" w:before="0" w:after="0"/>
              <w:jc w:val="both"/>
              <w:rPr>
                <w:rFonts w:ascii="Arial" w:hAnsi="Arial" w:cs="Arial"/>
                <w:bCs/>
              </w:rPr>
            </w:pPr>
            <w:r>
              <w:rPr>
                <w:rFonts w:cs="Arial" w:ascii="Arial" w:hAnsi="Arial"/>
                <w:bCs/>
              </w:rPr>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Cs/>
              </w:rPr>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 xml:space="preserve">Priimant sprendimus dėl tiekėjo pašalinimo iš pirkimo procedūros šiame punkte nurodytu pašalinimo pagrindu, gali būti atsižvelgiama į pagal VPĮ 91 straipsnį skelbiamą informaciją: </w:t>
            </w:r>
          </w:p>
          <w:p>
            <w:pPr>
              <w:pStyle w:val="NoSpacing"/>
              <w:jc w:val="both"/>
              <w:rPr>
                <w:rFonts w:ascii="Arial" w:hAnsi="Arial" w:cs="Arial"/>
                <w:sz w:val="22"/>
                <w:szCs w:val="22"/>
              </w:rPr>
            </w:pPr>
            <w:r>
              <w:rPr>
                <w:rFonts w:cs="Arial" w:ascii="Arial" w:hAnsi="Arial"/>
                <w:sz w:val="22"/>
                <w:szCs w:val="22"/>
              </w:rPr>
            </w:r>
          </w:p>
          <w:p>
            <w:pPr>
              <w:pStyle w:val="NoSpacing"/>
              <w:jc w:val="both"/>
              <w:rPr>
                <w:rStyle w:val="InternetLink"/>
                <w:rFonts w:ascii="Arial" w:hAnsi="Arial" w:cs="Arial"/>
                <w:sz w:val="22"/>
                <w:szCs w:val="22"/>
              </w:rPr>
            </w:pPr>
            <w:hyperlink r:id="rId4">
              <w:r>
                <w:rPr>
                  <w:rStyle w:val="Hyperlink"/>
                  <w:rFonts w:cs="Arial" w:ascii="Arial" w:hAnsi="Arial"/>
                  <w:sz w:val="22"/>
                  <w:szCs w:val="22"/>
                </w:rPr>
                <w:t>https://vpt.lrv.lt/lt/pasalinimo-pagrindai-1/nepatikimi-tiekejai-1</w:t>
              </w:r>
            </w:hyperlink>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sz w:val="22"/>
                <w:szCs w:val="22"/>
              </w:rPr>
            </w:pPr>
            <w:hyperlink r:id="rId5">
              <w:r>
                <w:rPr>
                  <w:rStyle w:val="Hyperlink"/>
                  <w:rFonts w:cs="Arial" w:ascii="Arial" w:hAnsi="Arial"/>
                  <w:sz w:val="22"/>
                  <w:szCs w:val="22"/>
                </w:rPr>
                <w:t>https://vpt.lrv.lt/lt/pasalinimo-pagrindai-1/nepatikimu-koncesininku-sarasas-1/nepatikimu-koncesininku-sarasas</w:t>
              </w:r>
            </w:hyperlink>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10.</w:t>
            </w:r>
          </w:p>
        </w:tc>
        <w:tc>
          <w:tcPr>
            <w:tcW w:w="518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Cs/>
              </w:rPr>
            </w:pPr>
            <w:r>
              <w:rPr>
                <w:rFonts w:cs="Arial" w:ascii="Arial" w:hAnsi="Arial"/>
                <w:bCs/>
              </w:rPr>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C11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6">
              <w:r>
                <w:rPr>
                  <w:rStyle w:val="Hyperlink"/>
                  <w:rFonts w:cs="Arial" w:ascii="Arial" w:hAnsi="Arial"/>
                  <w:sz w:val="22"/>
                  <w:szCs w:val="22"/>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Spacing"/>
              <w:jc w:val="both"/>
              <w:rPr>
                <w:rFonts w:ascii="Arial" w:hAnsi="Arial" w:cs="Arial"/>
                <w:sz w:val="22"/>
                <w:szCs w:val="22"/>
                <w:lang w:eastAsia="en-US"/>
              </w:rPr>
            </w:pPr>
            <w:hyperlink r:id="rId7">
              <w:r>
                <w:rPr>
                  <w:rStyle w:val="Hyperlink"/>
                  <w:rFonts w:cs="Arial" w:ascii="Arial" w:hAnsi="Arial"/>
                  <w:sz w:val="22"/>
                  <w:szCs w:val="22"/>
                </w:rPr>
                <w:t>https://vpt.lrv.lt/lt/naujienos/finansiniu-ataskaitu-nepateikimas-gali-tapti-kliutimi-dalyvauti-viesuosiuose-pirkimuose</w:t>
              </w:r>
            </w:hyperlink>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11.</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eastAsia="Calibri" w:cs="Arial"/>
                <w:bCs/>
              </w:rPr>
            </w:pPr>
            <w:r>
              <w:rPr>
                <w:rFonts w:eastAsia="Yu Mincho" w:cs="Arial" w:ascii="Arial" w:hAnsi="Arial"/>
              </w:rPr>
              <w:t>EBVPD III dalies C11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rmal"/>
              <w:spacing w:lineRule="auto" w:line="240" w:before="0" w:after="0"/>
              <w:jc w:val="both"/>
              <w:rPr>
                <w:rFonts w:ascii="Arial" w:hAnsi="Arial" w:cs="Arial"/>
                <w:bCs/>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8">
              <w:r>
                <w:rPr>
                  <w:rStyle w:val="Hyperlink"/>
                  <w:rFonts w:cs="Arial" w:ascii="Arial" w:hAnsi="Arial"/>
                </w:rPr>
                <w:t>https://www.vmi.lt/evmi/mokesciu-moketoju-informacija</w:t>
              </w:r>
            </w:hyperlink>
            <w:r>
              <w:rPr>
                <w:rFonts w:cs="Arial" w:ascii="Arial" w:hAnsi="Arial"/>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12.</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themeColor="text1"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rPr>
            </w:pPr>
            <w:r>
              <w:rPr>
                <w:rFonts w:eastAsia="Yu Mincho" w:cs="Arial" w:ascii="Arial" w:hAnsi="Arial"/>
                <w:sz w:val="22"/>
                <w:szCs w:val="22"/>
              </w:rPr>
              <w:t>EBVPD III dalies C11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rPr>
                <w:rFonts w:ascii="Arial" w:hAnsi="Arial" w:cs="Arial"/>
                <w:b/>
                <w:bCs/>
              </w:rPr>
            </w:pPr>
            <w:r>
              <w:rPr>
                <w:rFonts w:cs="Arial" w:ascii="Arial" w:hAnsi="Arial"/>
                <w:b/>
                <w:bCs/>
              </w:rPr>
              <w:t xml:space="preserve">Priimant sprendimus dėl tiekėjo pašalinimo iš pirkimo procedūros šiame punkte nurodytu pašalinimo pagrindu, be kita ko, atsižvelgiama į nacionalinėje duomenų bazėje adresu: </w:t>
            </w:r>
          </w:p>
          <w:p>
            <w:pPr>
              <w:pStyle w:val="NoSpacing"/>
              <w:jc w:val="both"/>
              <w:rPr>
                <w:rFonts w:ascii="Arial" w:hAnsi="Arial" w:cs="Arial"/>
                <w:bCs/>
                <w:sz w:val="22"/>
                <w:szCs w:val="22"/>
              </w:rPr>
            </w:pPr>
            <w:hyperlink r:id="rId9">
              <w:r>
                <w:rPr>
                  <w:rStyle w:val="Hyperlink"/>
                  <w:rFonts w:cs="Arial" w:ascii="Arial" w:hAnsi="Arial"/>
                  <w:sz w:val="22"/>
                  <w:szCs w:val="22"/>
                </w:rPr>
                <w:t>https://kt.gov.lt/lt/atviri-duomenys/diskvalifikavimas-is-viesuju-pirkimu</w:t>
              </w:r>
            </w:hyperlink>
            <w:r>
              <w:rPr>
                <w:rFonts w:cs="Arial" w:ascii="Arial" w:hAnsi="Arial"/>
                <w:sz w:val="22"/>
                <w:szCs w:val="22"/>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13.</w:t>
            </w:r>
          </w:p>
        </w:tc>
        <w:tc>
          <w:tcPr>
            <w:tcW w:w="51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rPr>
            </w:pPr>
            <w:r>
              <w:rPr>
                <w:rFonts w:cs="Arial" w:ascii="Arial" w:hAnsi="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vieneri metai.</w:t>
            </w:r>
          </w:p>
        </w:tc>
        <w:tc>
          <w:tcPr>
            <w:tcW w:w="168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6 dalies 3 punktas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rPr>
              <w:t>EBVPD III dalies C11 punktas</w:t>
            </w:r>
          </w:p>
        </w:tc>
        <w:tc>
          <w:tcPr>
            <w:tcW w:w="491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b/>
                <w:bCs/>
                <w:sz w:val="22"/>
                <w:szCs w:val="22"/>
                <w:lang w:eastAsia="en-US"/>
              </w:rPr>
            </w:pPr>
            <w:r>
              <w:rPr>
                <w:rFonts w:cs="Arial" w:ascii="Arial" w:hAnsi="Arial"/>
                <w:b/>
                <w:bCs/>
                <w:sz w:val="22"/>
                <w:szCs w:val="22"/>
                <w:lang w:eastAsia="en-US"/>
              </w:rPr>
              <w:t xml:space="preserve">Priimant sprendimus dėl tiekėjo pašalinimo iš pirkimo procedūros šiame punkte nurodytu pašalinimo pagrindu, be kita ko, atsižvelgiama į nacionalinėje duomenų bazėje adresu: </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sz w:val="22"/>
                <w:szCs w:val="22"/>
                <w:lang w:eastAsia="en-US"/>
              </w:rPr>
            </w:pPr>
            <w:hyperlink r:id="rId10">
              <w:r>
                <w:rPr>
                  <w:rStyle w:val="Hyperlink"/>
                  <w:rFonts w:cs="Arial" w:ascii="Arial" w:hAnsi="Arial"/>
                  <w:sz w:val="22"/>
                  <w:szCs w:val="22"/>
                  <w:lang w:eastAsia="en-US"/>
                </w:rPr>
                <w:t>https://kt.gov.lt/lt/atviri-duomenys/diskvalifikavimas-is-viesuju-pirkimu</w:t>
              </w:r>
            </w:hyperlink>
            <w:r>
              <w:rPr>
                <w:rFonts w:cs="Arial" w:ascii="Arial" w:hAnsi="Arial"/>
                <w:sz w:val="22"/>
                <w:szCs w:val="22"/>
                <w:lang w:eastAsia="en-US"/>
              </w:rPr>
              <w:t xml:space="preserve"> skelbiamą informaciją.</w:t>
            </w:r>
          </w:p>
        </w:tc>
        <w:tc>
          <w:tcPr>
            <w:tcW w:w="2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697"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14.</w:t>
            </w:r>
          </w:p>
        </w:tc>
        <w:tc>
          <w:tcPr>
            <w:tcW w:w="5184"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bCs/>
                <w:color w:val="000000"/>
                <w:sz w:val="22"/>
                <w:szCs w:val="22"/>
              </w:rPr>
              <w:t>Tiekėjas yra įsteigtas arba dalyvauja pirkime vietoj kito asmens, siekiant išvengti VPĮ 46 straipsnio 4 ir 6 dalyse nurodytų pašalinimo pagrindų taikymo.</w:t>
            </w:r>
          </w:p>
        </w:tc>
        <w:tc>
          <w:tcPr>
            <w:tcW w:w="1682"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rPr>
              <w:t>VPĮ 46 straipsnio 7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ascii="Verdana" w:hAnsi="Verdana"/>
                <w:color w:val="000000"/>
                <w:sz w:val="22"/>
                <w:szCs w:val="22"/>
                <w:lang w:eastAsia="en-US"/>
              </w:rPr>
              <w:t>EBVPD III dalies D3 punktas</w:t>
            </w:r>
          </w:p>
        </w:tc>
        <w:tc>
          <w:tcPr>
            <w:tcW w:w="4913"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tc>
        <w:tc>
          <w:tcPr>
            <w:tcW w:w="2094"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t>Tiekėjas, tiekėjų grupės nariai ir (arba) ūkio subjektas, kurio pajėgumais remiasi tiekėjas, pagal sutarties vykdymui prisiimtus įsipareigojimus</w:t>
            </w:r>
          </w:p>
        </w:tc>
      </w:tr>
    </w:tbl>
    <w:p>
      <w:pPr>
        <w:pStyle w:val="ListParagraph"/>
        <w:spacing w:lineRule="auto" w:line="240" w:before="0" w:after="0"/>
        <w:ind w:firstLine="567" w:left="0"/>
        <w:contextualSpacing/>
        <w:jc w:val="both"/>
        <w:rPr>
          <w:rFonts w:ascii="Arial" w:hAnsi="Arial" w:cs="Arial"/>
          <w:i/>
          <w:i/>
          <w:iCs/>
        </w:rPr>
      </w:pPr>
      <w:r/>
      <w:r>
        <w:rPr>
          <w:rFonts w:cs="Arial" w:ascii="Arial" w:hAnsi="Arial"/>
          <w:i/>
          <w:iCs/>
        </w:rPr>
        <w:t>*Perkančioji organizacija pasilieka teisę prašyti tiekėjo pateikti pažymų ar kitų su pasiūlymu teikiamų dokumentų originalus.</w:t>
      </w:r>
    </w:p>
    <w:p>
      <w:pPr>
        <w:pStyle w:val="ListParagraph"/>
        <w:spacing w:lineRule="auto" w:line="240" w:before="0" w:after="0"/>
        <w:ind w:firstLine="567" w:left="0"/>
        <w:contextualSpacing/>
        <w:jc w:val="both"/>
        <w:rPr>
          <w:rFonts w:ascii="Arial" w:hAnsi="Arial" w:cs="Arial"/>
          <w:i/>
          <w:i/>
          <w:iCs/>
        </w:rPr>
      </w:pPr>
      <w:r>
        <w:rPr>
          <w:rFonts w:cs="Arial" w:ascii="Arial" w:hAnsi="Arial"/>
          <w:i/>
          <w:iCs/>
        </w:rPr>
      </w:r>
    </w:p>
    <w:p>
      <w:pPr>
        <w:pStyle w:val="ListParagraph"/>
        <w:spacing w:lineRule="auto" w:line="240" w:before="0" w:after="0"/>
        <w:ind w:firstLine="567" w:left="0"/>
        <w:contextualSpacing/>
        <w:jc w:val="both"/>
        <w:rPr>
          <w:rFonts w:ascii="Arial" w:hAnsi="Arial" w:cs="Arial"/>
          <w:i/>
          <w:i/>
          <w:iCs/>
        </w:rPr>
      </w:pPr>
      <w:r>
        <w:rPr>
          <w:rFonts w:cs="Arial" w:ascii="Arial" w:hAnsi="Arial"/>
          <w:i/>
          <w:iCs/>
        </w:rPr>
      </w:r>
    </w:p>
    <w:p>
      <w:pPr>
        <w:pStyle w:val="ListParagraph"/>
        <w:spacing w:lineRule="auto" w:line="240" w:before="0" w:after="0"/>
        <w:ind w:firstLine="567" w:left="0"/>
        <w:contextualSpacing/>
        <w:jc w:val="both"/>
        <w:rPr>
          <w:rFonts w:ascii="Arial" w:hAnsi="Arial" w:cs="Arial"/>
          <w:i/>
          <w:i/>
          <w:iCs/>
        </w:rPr>
      </w:pPr>
      <w:r>
        <w:rPr>
          <w:rFonts w:cs="Arial" w:ascii="Arial" w:hAnsi="Arial"/>
          <w:i/>
          <w:iCs/>
        </w:rPr>
      </w:r>
    </w:p>
    <w:p>
      <w:pPr>
        <w:pStyle w:val="ListParagraph"/>
        <w:spacing w:lineRule="auto" w:line="240" w:before="0" w:after="0"/>
        <w:ind w:firstLine="567" w:left="0"/>
        <w:contextualSpacing/>
        <w:jc w:val="both"/>
        <w:rPr>
          <w:rFonts w:ascii="Arial" w:hAnsi="Arial" w:cs="Arial"/>
        </w:rPr>
      </w:pPr>
      <w:r>
        <w:rPr>
          <w:rFonts w:cs="Arial" w:ascii="Arial" w:hAnsi="Arial"/>
        </w:rPr>
      </w:r>
    </w:p>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KVALIFIKACIJAI</w:t>
      </w:r>
    </w:p>
    <w:p>
      <w:pPr>
        <w:pStyle w:val="ListParagraph"/>
        <w:tabs>
          <w:tab w:val="clear" w:pos="1296"/>
          <w:tab w:val="left" w:pos="709" w:leader="none"/>
        </w:tabs>
        <w:spacing w:lineRule="auto" w:line="240" w:before="0" w:after="0"/>
        <w:ind w:left="0"/>
        <w:contextualSpacing/>
        <w:jc w:val="both"/>
        <w:rPr>
          <w:rFonts w:ascii="Arial" w:hAnsi="Arial" w:eastAsia="Times New Roman" w:cs="Arial"/>
          <w:bCs/>
        </w:rPr>
      </w:pPr>
      <w:r>
        <w:rPr>
          <w:rFonts w:eastAsia="Times New Roman" w:cs="Arial" w:ascii="Arial" w:hAnsi="Arial"/>
          <w:bCs/>
        </w:rPr>
      </w:r>
    </w:p>
    <w:p>
      <w:pPr>
        <w:pStyle w:val="ListParagraph"/>
        <w:spacing w:lineRule="auto" w:line="240" w:before="0" w:after="0"/>
        <w:ind w:firstLine="567" w:left="0"/>
        <w:contextualSpacing/>
        <w:jc w:val="center"/>
        <w:rPr>
          <w:rFonts w:ascii="Arial" w:hAnsi="Arial" w:cs="Arial"/>
          <w:b/>
        </w:rPr>
      </w:pPr>
      <w:r>
        <w:rPr>
          <w:rFonts w:cs="Arial" w:ascii="Arial" w:hAnsi="Arial"/>
          <w:b/>
        </w:rPr>
      </w:r>
    </w:p>
    <w:p>
      <w:pPr>
        <w:pStyle w:val="Caption"/>
        <w:keepNext w:val="true"/>
        <w:spacing w:before="0" w:after="0"/>
        <w:jc w:val="right"/>
        <w:rPr>
          <w:rFonts w:ascii="Arial" w:hAnsi="Arial" w:cs="Arial"/>
          <w:color w:val="auto"/>
        </w:rPr>
      </w:pPr>
      <w:r>
        <w:rPr>
          <w:rFonts w:cs="Arial" w:ascii="Arial" w:hAnsi="Arial"/>
          <w:color w:val="auto"/>
        </w:rPr>
        <w:t>2 lentelė. Kvalifikacijos reikalavimai</w:t>
      </w:r>
    </w:p>
    <w:tbl>
      <w:tblPr>
        <w:tblStyle w:val="Lentelstinklelis"/>
        <w:tblW w:w="1456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8"/>
        <w:gridCol w:w="3826"/>
        <w:gridCol w:w="6126"/>
        <w:gridCol w:w="3619"/>
      </w:tblGrid>
      <w:tr>
        <w:trPr/>
        <w:tc>
          <w:tcPr>
            <w:tcW w:w="988" w:type="dxa"/>
            <w:tcBorders/>
            <w:shd w:color="auto" w:fill="92D050" w:val="clear"/>
            <w:vAlign w:val="center"/>
          </w:tcPr>
          <w:p>
            <w:pPr>
              <w:pStyle w:val="ListParagraph"/>
              <w:widowControl/>
              <w:suppressAutoHyphens w:val="true"/>
              <w:spacing w:lineRule="auto" w:line="240" w:before="0" w:after="0"/>
              <w:ind w:left="0"/>
              <w:contextualSpacing/>
              <w:jc w:val="center"/>
              <w:rPr>
                <w:rFonts w:ascii="Arial" w:hAnsi="Arial" w:cs="Arial"/>
                <w:b/>
              </w:rPr>
            </w:pPr>
            <w:r>
              <w:rPr>
                <w:rFonts w:cs="Arial" w:ascii="Arial" w:hAnsi="Arial"/>
                <w:b/>
                <w:sz w:val="22"/>
                <w:szCs w:val="22"/>
                <w:lang w:val="lt-LT" w:eastAsia="en-US" w:bidi="ar-SA"/>
              </w:rPr>
              <w:t>Eil. Nr.</w:t>
            </w:r>
          </w:p>
        </w:tc>
        <w:tc>
          <w:tcPr>
            <w:tcW w:w="3826" w:type="dxa"/>
            <w:tcBorders/>
            <w:shd w:color="auto" w:fill="92D050" w:val="clear"/>
            <w:vAlign w:val="center"/>
          </w:tcPr>
          <w:p>
            <w:pPr>
              <w:pStyle w:val="ListParagraph"/>
              <w:widowControl/>
              <w:suppressAutoHyphens w:val="true"/>
              <w:spacing w:lineRule="auto" w:line="240" w:before="0" w:after="0"/>
              <w:ind w:left="0"/>
              <w:contextualSpacing/>
              <w:jc w:val="center"/>
              <w:rPr>
                <w:rFonts w:ascii="Arial" w:hAnsi="Arial" w:cs="Arial"/>
                <w:b/>
              </w:rPr>
            </w:pPr>
            <w:r>
              <w:rPr>
                <w:rFonts w:cs="Arial" w:ascii="Arial" w:hAnsi="Arial"/>
                <w:b/>
                <w:sz w:val="22"/>
                <w:szCs w:val="22"/>
                <w:lang w:val="lt-LT" w:eastAsia="en-US" w:bidi="ar-SA"/>
              </w:rPr>
              <w:t>Reikalavimas</w:t>
            </w:r>
          </w:p>
        </w:tc>
        <w:tc>
          <w:tcPr>
            <w:tcW w:w="6126" w:type="dxa"/>
            <w:tcBorders/>
            <w:shd w:color="auto" w:fill="92D050" w:val="clear"/>
            <w:vAlign w:val="center"/>
          </w:tcPr>
          <w:p>
            <w:pPr>
              <w:pStyle w:val="ListParagraph"/>
              <w:widowControl/>
              <w:suppressAutoHyphens w:val="true"/>
              <w:spacing w:lineRule="auto" w:line="240" w:before="0" w:after="0"/>
              <w:ind w:left="0"/>
              <w:contextualSpacing/>
              <w:jc w:val="center"/>
              <w:rPr>
                <w:rFonts w:ascii="Arial" w:hAnsi="Arial" w:cs="Arial"/>
                <w:b/>
              </w:rPr>
            </w:pPr>
            <w:r>
              <w:rPr>
                <w:rFonts w:cs="Arial" w:ascii="Arial" w:hAnsi="Arial"/>
                <w:b/>
                <w:sz w:val="22"/>
                <w:szCs w:val="22"/>
                <w:lang w:val="lt-LT" w:eastAsia="en-US" w:bidi="ar-SA"/>
              </w:rPr>
              <w:t>Atitiktį reikalavimui įrodantys dokumentai</w:t>
            </w:r>
          </w:p>
        </w:tc>
        <w:tc>
          <w:tcPr>
            <w:tcW w:w="3619" w:type="dxa"/>
            <w:tcBorders/>
            <w:shd w:color="auto" w:fill="92D050" w:val="clear"/>
            <w:vAlign w:val="center"/>
          </w:tcPr>
          <w:p>
            <w:pPr>
              <w:pStyle w:val="ListParagraph"/>
              <w:widowControl/>
              <w:suppressAutoHyphens w:val="true"/>
              <w:spacing w:lineRule="auto" w:line="240" w:before="0" w:after="0"/>
              <w:ind w:left="0"/>
              <w:contextualSpacing/>
              <w:jc w:val="center"/>
              <w:rPr>
                <w:rFonts w:ascii="Arial" w:hAnsi="Arial" w:cs="Arial"/>
                <w:b/>
              </w:rPr>
            </w:pPr>
            <w:r>
              <w:rPr>
                <w:rFonts w:cs="Arial" w:ascii="Arial" w:hAnsi="Arial"/>
                <w:b/>
                <w:sz w:val="22"/>
                <w:szCs w:val="22"/>
                <w:lang w:val="lt-LT" w:eastAsia="en-US" w:bidi="ar-SA"/>
              </w:rPr>
              <w:t>Subjektas, kuris turi atitikti reikalavimą</w:t>
            </w:r>
          </w:p>
        </w:tc>
      </w:tr>
      <w:tr>
        <w:trPr/>
        <w:tc>
          <w:tcPr>
            <w:tcW w:w="988" w:type="dxa"/>
            <w:tcBorders/>
          </w:tcPr>
          <w:p>
            <w:pPr>
              <w:pStyle w:val="ListParagraph"/>
              <w:widowControl/>
              <w:numPr>
                <w:ilvl w:val="0"/>
                <w:numId w:val="7"/>
              </w:numPr>
              <w:suppressAutoHyphens w:val="true"/>
              <w:spacing w:lineRule="auto" w:line="240" w:before="0" w:after="0"/>
              <w:contextualSpacing/>
              <w:jc w:val="both"/>
              <w:rPr>
                <w:rFonts w:ascii="Arial" w:hAnsi="Arial" w:cs="Arial"/>
                <w:bCs/>
              </w:rPr>
            </w:pPr>
            <w:r>
              <w:rPr>
                <w:rFonts w:cs="Arial" w:ascii="Arial" w:hAnsi="Arial"/>
                <w:bCs/>
                <w:sz w:val="22"/>
                <w:szCs w:val="22"/>
                <w:lang w:val="lt-LT" w:eastAsia="en-US" w:bidi="ar-SA"/>
              </w:rPr>
            </w:r>
          </w:p>
        </w:tc>
        <w:tc>
          <w:tcPr>
            <w:tcW w:w="3826" w:type="dxa"/>
            <w:tcBorders/>
          </w:tcPr>
          <w:p>
            <w:pPr>
              <w:pStyle w:val="ListParagraph"/>
              <w:widowControl/>
              <w:suppressAutoHyphens w:val="true"/>
              <w:spacing w:lineRule="auto" w:line="240" w:before="0" w:after="0"/>
              <w:ind w:left="0"/>
              <w:contextualSpacing/>
              <w:jc w:val="both"/>
              <w:rPr>
                <w:rFonts w:ascii="Arial" w:hAnsi="Arial" w:cs="Arial"/>
                <w:bCs/>
              </w:rPr>
            </w:pPr>
            <w:r>
              <w:rPr>
                <w:rFonts w:cs="Arial" w:ascii="Arial" w:hAnsi="Arial"/>
                <w:bCs/>
                <w:sz w:val="22"/>
                <w:szCs w:val="22"/>
                <w:lang w:val="lt-LT" w:eastAsia="en-US" w:bidi="ar-SA"/>
              </w:rPr>
              <w:t>Tiekėjas turi teisę vykdyti nekilnojamo turto draudimo paslaugas </w:t>
            </w:r>
            <w:r>
              <w:rPr>
                <w:rFonts w:cs="Arial" w:ascii="Arial" w:hAnsi="Arial"/>
                <w:bCs/>
                <w:sz w:val="22"/>
                <w:szCs w:val="22"/>
                <w:lang w:val="lt-LT" w:eastAsia="en-US" w:bidi="ar-SA"/>
              </w:rPr>
              <w:t>Lietuvoje.</w:t>
            </w:r>
          </w:p>
        </w:tc>
        <w:tc>
          <w:tcPr>
            <w:tcW w:w="6126" w:type="dxa"/>
            <w:tcBorders/>
          </w:tcPr>
          <w:p>
            <w:pPr>
              <w:pStyle w:val="Normal"/>
              <w:widowControl/>
              <w:suppressAutoHyphens w:val="true"/>
              <w:spacing w:before="0" w:after="200"/>
              <w:jc w:val="both"/>
              <w:rPr>
                <w:rFonts w:ascii="Arial" w:hAnsi="Arial" w:cs="Arial"/>
                <w:bCs/>
              </w:rPr>
            </w:pPr>
            <w:r>
              <w:rPr>
                <w:rFonts w:cs="Arial" w:ascii="Arial" w:hAnsi="Arial"/>
                <w:bCs/>
                <w:sz w:val="22"/>
                <w:szCs w:val="22"/>
                <w:lang w:val="lt-LT" w:eastAsia="en-US" w:bidi="ar-SA"/>
              </w:rPr>
              <w:t>Tiekėjas turi turėti Lietuvos Banko arba užsienio šalies, kurioje yra registruotas tiekėjas, draudimo veiklą prižiūrinčios institucijos arba atitinkamos institucijos, išduotos draudimo veiklos licencijos (leidimo) arba lygiaverčio dokumento kopiją. </w:t>
            </w:r>
          </w:p>
          <w:p>
            <w:pPr>
              <w:pStyle w:val="Normal"/>
              <w:widowControl/>
              <w:suppressAutoHyphens w:val="true"/>
              <w:spacing w:before="0" w:after="200"/>
              <w:jc w:val="both"/>
              <w:rPr>
                <w:rFonts w:ascii="Arial" w:hAnsi="Arial" w:cs="Arial"/>
                <w:bCs/>
              </w:rPr>
            </w:pPr>
            <w:r>
              <w:rPr>
                <w:rFonts w:cs="Arial" w:ascii="Arial" w:hAnsi="Arial"/>
                <w:bCs/>
                <w:sz w:val="22"/>
                <w:szCs w:val="22"/>
                <w:lang w:val="lt-LT" w:eastAsia="en-US" w:bidi="ar-SA"/>
              </w:rPr>
              <w:t>Lietuvoje registruotam tiekėjui licencijos kopijos pateikti nereikia, jeigu perkančioji organizacija informaciją gali patikrinti Lietuvos banko interneto svetainėje. Perkančioji organizacija Lietuvos banko puslapyje šią informaciją tikrina pati. (</w:t>
            </w:r>
            <w:hyperlink r:id="rId11">
              <w:r>
                <w:rPr>
                  <w:rStyle w:val="Hyperlink"/>
                  <w:rFonts w:cs="Arial" w:ascii="Arial" w:hAnsi="Arial"/>
                  <w:bCs/>
                  <w:sz w:val="22"/>
                  <w:szCs w:val="22"/>
                  <w:lang w:val="lt-LT" w:eastAsia="en-US" w:bidi="ar-SA"/>
                </w:rPr>
                <w:t>#1 Finansų rinkos dalyviai | Lietuvos bankas (lb.lt)</w:t>
              </w:r>
            </w:hyperlink>
            <w:r>
              <w:rPr>
                <w:rFonts w:cs="Arial" w:ascii="Arial" w:hAnsi="Arial"/>
                <w:bCs/>
                <w:sz w:val="22"/>
                <w:szCs w:val="22"/>
                <w:lang w:val="lt-LT" w:eastAsia="en-US" w:bidi="ar-SA"/>
              </w:rPr>
              <w:t>).</w:t>
            </w:r>
          </w:p>
          <w:p>
            <w:pPr>
              <w:pStyle w:val="Normal"/>
              <w:widowControl/>
              <w:suppressAutoHyphens w:val="true"/>
              <w:spacing w:before="0" w:after="200"/>
              <w:jc w:val="both"/>
              <w:rPr>
                <w:rFonts w:ascii="Arial" w:hAnsi="Arial" w:cs="Arial"/>
                <w:bCs/>
              </w:rPr>
            </w:pPr>
            <w:r>
              <w:rPr>
                <w:rFonts w:cs="Arial" w:ascii="Arial" w:hAnsi="Arial"/>
                <w:bCs/>
                <w:sz w:val="22"/>
                <w:szCs w:val="22"/>
                <w:lang w:val="lt-LT" w:eastAsia="en-US" w:bidi="ar-SA"/>
              </w:rPr>
              <w:t xml:space="preserve">Jeigu dėl Lietuvos banko informacinės sistemos techninių trikdžių perkančioji organizacija neturės galimybės patikrinti neatlygintinai prieinamų duomenų, ji turės teisę prašyti tiekėjo, pateikti nustatyta tvarka išduotus dokumentus, patvirtinančius atitiktį šiam reikalavimui. </w:t>
            </w:r>
          </w:p>
          <w:p>
            <w:pPr>
              <w:pStyle w:val="ListParagraph"/>
              <w:widowControl/>
              <w:suppressAutoHyphens w:val="true"/>
              <w:spacing w:lineRule="auto" w:line="240" w:before="0" w:after="0"/>
              <w:ind w:left="0"/>
              <w:contextualSpacing/>
              <w:jc w:val="both"/>
              <w:rPr>
                <w:rFonts w:ascii="Arial" w:hAnsi="Arial" w:cs="Arial"/>
                <w:bCs/>
                <w:i/>
                <w:i/>
                <w:iCs/>
              </w:rPr>
            </w:pPr>
            <w:r>
              <w:rPr>
                <w:rFonts w:cs="Arial" w:ascii="Arial" w:hAnsi="Arial"/>
                <w:bCs/>
                <w:i/>
                <w:iCs/>
                <w:sz w:val="22"/>
                <w:szCs w:val="22"/>
                <w:lang w:val="lt-LT" w:eastAsia="en-US" w:bidi="ar-SA"/>
              </w:rPr>
              <w:t>CVP IS priemonėmis pateikiamos skaitmeninės dokumentų kopijos. </w:t>
            </w:r>
          </w:p>
        </w:tc>
        <w:tc>
          <w:tcPr>
            <w:tcW w:w="3619" w:type="dxa"/>
            <w:tcBorders/>
          </w:tcPr>
          <w:p>
            <w:pPr>
              <w:pStyle w:val="Normal"/>
              <w:widowControl/>
              <w:suppressAutoHyphens w:val="true"/>
              <w:spacing w:before="0" w:after="0"/>
              <w:jc w:val="both"/>
              <w:rPr>
                <w:rFonts w:ascii="Arial" w:hAnsi="Arial" w:cs="Arial"/>
                <w:bCs/>
              </w:rPr>
            </w:pPr>
            <w:r>
              <w:rPr>
                <w:rFonts w:cs="Arial" w:ascii="Arial" w:hAnsi="Arial"/>
                <w:bCs/>
                <w:sz w:val="22"/>
                <w:szCs w:val="22"/>
                <w:lang w:val="lt-LT" w:eastAsia="en-US" w:bidi="ar-SA"/>
              </w:rPr>
              <w:t>Jeigu pasiūlymą teikia ūkio subjektų grupė – reikalavimą turi atitikti visi ūkio subjektų grupės nariai kartu (ūkio subjektų grupės narių turima patirtis sumuojama), atsižvelgiant į jų prisiimamus įsipareigojimus.</w:t>
            </w:r>
          </w:p>
          <w:p>
            <w:pPr>
              <w:pStyle w:val="Normal"/>
              <w:widowControl/>
              <w:suppressAutoHyphens w:val="true"/>
              <w:spacing w:before="0" w:after="0"/>
              <w:jc w:val="both"/>
              <w:rPr>
                <w:rFonts w:ascii="Arial" w:hAnsi="Arial" w:cs="Arial"/>
                <w:bCs/>
              </w:rPr>
            </w:pPr>
            <w:r>
              <w:rPr>
                <w:rFonts w:cs="Arial" w:ascii="Arial" w:hAnsi="Arial"/>
                <w:bCs/>
                <w:sz w:val="22"/>
                <w:szCs w:val="22"/>
                <w:lang w:val="lt-LT" w:eastAsia="en-US" w:bidi="ar-SA"/>
              </w:rPr>
              <w:t xml:space="preserve">Tiekėjas gali remtis kitų ūkio subjektų pajėgumais tik tuomet, kai tie subjektai, kurių pajėgumais buvo pasiremta, patys teiks paslaugas, kuriems reikia jų pajėgumų. </w:t>
            </w:r>
          </w:p>
          <w:p>
            <w:pPr>
              <w:pStyle w:val="Normal"/>
              <w:widowControl/>
              <w:suppressAutoHyphens w:val="true"/>
              <w:spacing w:before="0" w:after="0"/>
              <w:jc w:val="both"/>
              <w:rPr>
                <w:rFonts w:ascii="Arial" w:hAnsi="Arial" w:cs="Arial"/>
                <w:bCs/>
              </w:rPr>
            </w:pPr>
            <w:r>
              <w:rPr>
                <w:rFonts w:cs="Arial" w:ascii="Arial" w:hAnsi="Arial"/>
                <w:bCs/>
                <w:sz w:val="22"/>
                <w:szCs w:val="22"/>
                <w:lang w:val="lt-LT" w:eastAsia="en-US" w:bidi="ar-SA"/>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pPr>
              <w:pStyle w:val="Normal"/>
              <w:widowControl/>
              <w:suppressAutoHyphens w:val="true"/>
              <w:spacing w:lineRule="auto" w:line="240" w:before="0" w:after="0"/>
              <w:jc w:val="both"/>
              <w:rPr>
                <w:rFonts w:ascii="Arial" w:hAnsi="Arial" w:cs="Arial"/>
                <w:bCs/>
              </w:rPr>
            </w:pPr>
            <w:r>
              <w:rPr>
                <w:rFonts w:cs="Arial" w:ascii="Arial" w:hAnsi="Arial"/>
                <w:bCs/>
                <w:sz w:val="22"/>
                <w:szCs w:val="22"/>
                <w:lang w:val="lt-LT" w:eastAsia="en-US" w:bidi="ar-SA"/>
              </w:rPr>
              <w:t>Tiekėjas įsipareigoja, kad pirkimo sutartį vykdys tik tokią teisę turintys asmenys ir, pirkimo vykdytojui pareikalavus, tiekėjas turės pateikti dokumentus, įrodančius subtiekėjo teisę verstis atitinkama veikla, kuriai jis pasitelkiamas.</w:t>
            </w:r>
          </w:p>
        </w:tc>
      </w:tr>
      <w:tr>
        <w:trPr>
          <w:trHeight w:val="2396" w:hRule="atLeast"/>
        </w:trPr>
        <w:tc>
          <w:tcPr>
            <w:tcW w:w="988" w:type="dxa"/>
            <w:tcBorders/>
          </w:tcPr>
          <w:p>
            <w:pPr>
              <w:pStyle w:val="ListParagraph"/>
              <w:widowControl/>
              <w:numPr>
                <w:ilvl w:val="0"/>
                <w:numId w:val="7"/>
              </w:numPr>
              <w:suppressAutoHyphens w:val="true"/>
              <w:spacing w:lineRule="auto" w:line="240" w:before="0" w:after="0"/>
              <w:contextualSpacing/>
              <w:jc w:val="both"/>
              <w:rPr>
                <w:rFonts w:ascii="Arial" w:hAnsi="Arial" w:cs="Arial"/>
                <w:bCs/>
              </w:rPr>
            </w:pPr>
            <w:r>
              <w:rPr>
                <w:rFonts w:cs="Arial" w:ascii="Arial" w:hAnsi="Arial"/>
                <w:bCs/>
                <w:sz w:val="22"/>
                <w:szCs w:val="22"/>
                <w:lang w:val="lt-LT" w:eastAsia="en-US" w:bidi="ar-SA"/>
              </w:rPr>
            </w:r>
          </w:p>
        </w:tc>
        <w:tc>
          <w:tcPr>
            <w:tcW w:w="3826" w:type="dxa"/>
            <w:tcBorders/>
          </w:tcPr>
          <w:p>
            <w:pPr>
              <w:pStyle w:val="Normal"/>
              <w:widowControl/>
              <w:suppressAutoHyphens w:val="true"/>
              <w:spacing w:before="0" w:after="200"/>
              <w:jc w:val="both"/>
              <w:rPr>
                <w:rFonts w:ascii="Arial" w:hAnsi="Arial" w:cs="Arial"/>
                <w:bCs/>
              </w:rPr>
            </w:pPr>
            <w:r>
              <w:rPr>
                <w:rFonts w:cs="Arial" w:ascii="Arial" w:hAnsi="Arial"/>
                <w:bCs/>
                <w:sz w:val="22"/>
                <w:szCs w:val="22"/>
                <w:lang w:val="lt-LT" w:eastAsia="en-US" w:bidi="ar-SA"/>
              </w:rPr>
              <w:t>Tiekėjui arba Tiekėjo pagrindiniam akcininkui, kuriam priklauso ne mažiau kaip 50% Tiekėjo akcijų, suteiktas tarptautinės reitingų agentūros patvirtintas investicinio lygio reitingas pagal „Standard &amp; Poor’s” yra ne mažesnis kaip BBB, arba „Fitch IBCA“ - A, arba „Moody‘s“ – A2. </w:t>
            </w:r>
          </w:p>
        </w:tc>
        <w:tc>
          <w:tcPr>
            <w:tcW w:w="6126" w:type="dxa"/>
            <w:tcBorders/>
          </w:tcPr>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t>Kompetentingų trečiųjų asmenų pateikti dokumentai, patvirtinantys, kad Tiekėjui arba Tiekėjo pagrindiniam akcininkui, kuriam priklauso ne mažiau kaip 50 % Tiekėjo akcijų, suteiktas tarptautinės reitingų agentūros patvirtintas investicinio lygio reitingas pagal „Standard &amp; Poor’s” yra ne mažesnis kaip BBB, arba „Fitch IBCA“ – A, arba „Moody‘s“ – A2. </w:t>
            </w:r>
          </w:p>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t> </w:t>
            </w:r>
          </w:p>
          <w:p>
            <w:pPr>
              <w:pStyle w:val="ListParagraph"/>
              <w:widowControl/>
              <w:suppressAutoHyphens w:val="true"/>
              <w:spacing w:lineRule="auto" w:line="240" w:before="0" w:after="0"/>
              <w:ind w:left="0"/>
              <w:contextualSpacing/>
              <w:jc w:val="both"/>
              <w:rPr>
                <w:rFonts w:ascii="Arial" w:hAnsi="Arial" w:cs="Arial"/>
                <w:bCs/>
                <w:i/>
                <w:i/>
                <w:iCs/>
              </w:rPr>
            </w:pPr>
            <w:r>
              <w:rPr>
                <w:rFonts w:cs="Arial" w:ascii="Arial" w:hAnsi="Arial"/>
                <w:bCs/>
                <w:i/>
                <w:iCs/>
                <w:sz w:val="22"/>
                <w:szCs w:val="22"/>
                <w:lang w:val="lt-LT" w:eastAsia="en-US" w:bidi="ar-SA"/>
              </w:rPr>
              <w:t>CVP IS priemonėmis pateikiamos skaitmeninės dokumentų kopijos.</w:t>
            </w:r>
          </w:p>
        </w:tc>
        <w:tc>
          <w:tcPr>
            <w:tcW w:w="3619" w:type="dxa"/>
            <w:vMerge w:val="restart"/>
            <w:tcBorders/>
          </w:tcPr>
          <w:p>
            <w:pPr>
              <w:pStyle w:val="Normal"/>
              <w:widowControl/>
              <w:suppressAutoHyphens w:val="true"/>
              <w:spacing w:lineRule="auto" w:line="240" w:before="0" w:after="0"/>
              <w:jc w:val="both"/>
              <w:rPr>
                <w:rFonts w:ascii="Arial" w:hAnsi="Arial" w:cs="Arial"/>
                <w:bCs/>
              </w:rPr>
            </w:pPr>
            <w:r>
              <w:rPr>
                <w:rFonts w:cs="Arial" w:ascii="Arial" w:hAnsi="Arial"/>
                <w:bCs/>
                <w:sz w:val="22"/>
                <w:szCs w:val="22"/>
                <w:lang w:val="lt-LT" w:eastAsia="en-US" w:bidi="ar-SA"/>
              </w:rPr>
              <w:t>Jeigu pasiūlymą teikia ūkio subjektų grupė – reikalavimą turi atitikti visi ūkio subjektų grupės nariai kartu (ūkio subjektų grupės narių turima patirtis sumuojama), atsižvelgiant į jų prisiimamus įsipareigojimus.</w:t>
            </w:r>
          </w:p>
          <w:p>
            <w:pPr>
              <w:pStyle w:val="Normal"/>
              <w:widowControl/>
              <w:suppressAutoHyphens w:val="true"/>
              <w:spacing w:lineRule="auto" w:line="240" w:before="0" w:after="0"/>
              <w:jc w:val="both"/>
              <w:rPr>
                <w:rFonts w:ascii="Arial" w:hAnsi="Arial" w:cs="Arial"/>
                <w:bCs/>
              </w:rPr>
            </w:pPr>
            <w:r>
              <w:rPr>
                <w:rFonts w:cs="Arial" w:ascii="Arial" w:hAnsi="Arial"/>
                <w:bCs/>
                <w:sz w:val="22"/>
                <w:szCs w:val="22"/>
                <w:lang w:val="lt-LT" w:eastAsia="en-US" w:bidi="ar-SA"/>
              </w:rPr>
              <w:t xml:space="preserve">Tiekėjas gali remtis kitų ūkio subjektų pajėgumais tik tuo atveju, jeigu tie subjektai patys vykdys tą pirkimo sutarties dalį, kuriai reikia jų turimų pajėgumų. </w:t>
            </w:r>
          </w:p>
          <w:p>
            <w:pPr>
              <w:pStyle w:val="ListParagraph"/>
              <w:widowControl/>
              <w:suppressAutoHyphens w:val="true"/>
              <w:spacing w:lineRule="auto" w:line="240" w:before="0" w:after="0"/>
              <w:ind w:left="0"/>
              <w:contextualSpacing/>
              <w:jc w:val="both"/>
              <w:rPr>
                <w:rFonts w:ascii="Arial" w:hAnsi="Arial" w:cs="Arial"/>
                <w:bCs/>
              </w:rPr>
            </w:pPr>
            <w:r>
              <w:rPr>
                <w:rFonts w:cs="Arial" w:ascii="Arial" w:hAnsi="Arial"/>
                <w:bCs/>
                <w:sz w:val="22"/>
                <w:szCs w:val="22"/>
                <w:lang w:val="lt-LT" w:eastAsia="en-US" w:bidi="ar-SA"/>
              </w:rPr>
              <w:t xml:space="preserve">Subtiekėjams šis reikalavimas nekeliamas. </w:t>
            </w:r>
          </w:p>
        </w:tc>
      </w:tr>
      <w:tr>
        <w:trPr/>
        <w:tc>
          <w:tcPr>
            <w:tcW w:w="988" w:type="dxa"/>
            <w:tcBorders/>
          </w:tcPr>
          <w:p>
            <w:pPr>
              <w:pStyle w:val="ListParagraph"/>
              <w:widowControl/>
              <w:numPr>
                <w:ilvl w:val="0"/>
                <w:numId w:val="7"/>
              </w:numPr>
              <w:suppressAutoHyphens w:val="true"/>
              <w:spacing w:lineRule="auto" w:line="240" w:before="0" w:after="0"/>
              <w:contextualSpacing/>
              <w:jc w:val="both"/>
              <w:rPr>
                <w:rFonts w:ascii="Arial" w:hAnsi="Arial" w:cs="Arial"/>
                <w:bCs/>
              </w:rPr>
            </w:pPr>
            <w:r>
              <w:rPr>
                <w:rFonts w:cs="Arial" w:ascii="Arial" w:hAnsi="Arial"/>
                <w:bCs/>
                <w:sz w:val="22"/>
                <w:szCs w:val="22"/>
                <w:lang w:val="lt-LT" w:eastAsia="en-US" w:bidi="ar-SA"/>
              </w:rPr>
            </w:r>
          </w:p>
        </w:tc>
        <w:tc>
          <w:tcPr>
            <w:tcW w:w="3826" w:type="dxa"/>
            <w:tcBorders/>
          </w:tcPr>
          <w:p>
            <w:pPr>
              <w:pStyle w:val="ListParagraph"/>
              <w:widowControl/>
              <w:suppressAutoHyphens w:val="true"/>
              <w:spacing w:lineRule="auto" w:line="240" w:before="0" w:after="0"/>
              <w:ind w:left="0"/>
              <w:contextualSpacing/>
              <w:jc w:val="both"/>
              <w:rPr>
                <w:rFonts w:ascii="Arial" w:hAnsi="Arial" w:cs="Arial"/>
                <w:bCs/>
              </w:rPr>
            </w:pPr>
            <w:r>
              <w:rPr>
                <w:rFonts w:cs="Arial" w:ascii="Arial" w:hAnsi="Arial"/>
                <w:bCs/>
                <w:sz w:val="22"/>
                <w:szCs w:val="22"/>
                <w:lang w:val="lt-LT" w:eastAsia="en-US" w:bidi="ar-SA"/>
              </w:rPr>
              <w:t>Jeigu Tiekėjas yra perdraudęs</w:t>
            </w:r>
            <w:r>
              <w:rPr>
                <w:rFonts w:cs=""/>
                <w:sz w:val="22"/>
                <w:szCs w:val="22"/>
                <w:lang w:val="lt-LT" w:eastAsia="en-US" w:bidi="ar-SA"/>
              </w:rPr>
              <w:t xml:space="preserve"> </w:t>
            </w:r>
            <w:r>
              <w:rPr>
                <w:rFonts w:cs="Arial" w:ascii="Arial" w:hAnsi="Arial"/>
                <w:bCs/>
                <w:sz w:val="22"/>
                <w:szCs w:val="22"/>
                <w:lang w:val="lt-LT" w:eastAsia="en-US" w:bidi="ar-SA"/>
              </w:rPr>
              <w:t>pirkimo dokumentuose nurodytas draudimo rizikas perdraudimo įmonėje, tokiai perdraudimo įmonei turi būti suteiktas tarptautinės reitingų agentūros investicinio lygio reitingas pagal „A.M. Best - ne žemesnis kaip B++ arba „Standard &amp; Poor’s” ne žemesnis kaip BBB, arba „Fitch IBCA“ ne žemesnis kaip BBB, arba „Moody‘s“ – ne žemesnis kaip Baa2. </w:t>
            </w:r>
          </w:p>
        </w:tc>
        <w:tc>
          <w:tcPr>
            <w:tcW w:w="6126" w:type="dxa"/>
            <w:tcBorders/>
          </w:tcPr>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t>Tiekėjo vadovo arba įgalioto asmens pasirašyta laisvos formos deklaracija, kurioje turi būti nurodytas (-i) perdraudikas (-ai), kuris (-ie) yra perėmęs (-ę) pirkimo dokumentuose nurodytą apdraudžiamą riziką iš Tiekėjo ir nurodyti perdraudiko (-ų) reitingą (-us). </w:t>
            </w:r>
          </w:p>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t>Tuo atveju, kai Tiekėjas pirkimo dokumentuose nurodytą apdraudžiamą riziką perdraudžia pagal automatinę (obligatorinę) perdraudimo sutartį, Tiekėjas turi pateikti informaciją apie automatinėje perdraudimo sutartyje dalyvaujančias draudimo ar perdraudimo įmones su šių įmonių prisiimamomis apdraudžiamos rizikos dalimis ir šių įmonių reitingais: ne žemesnis kaip BBB pagal „Standard &amp; Poor’s” arba ne žemesnis kaip BBB pagal „Fitch IBCA“ arba ne žemesnis kaip Baa2 pagal „Moody's“ arba ne žemesnis kaip B++ pagal „A.M. Best“. Jeigu Tiekėjas pats prisiima rizikas jų neperdrausdamas, jam nereikia pateikti informacijos apie perdraudimą. </w:t>
            </w:r>
          </w:p>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t>Taip pat reikalaujama pateikti kompetentingų trečiųjų asmenų dokumentus, patvirtinančius draudimo ar perdraudimo įmonių reitingus.</w:t>
            </w:r>
          </w:p>
          <w:p>
            <w:pPr>
              <w:pStyle w:val="Normal"/>
              <w:widowControl/>
              <w:suppressAutoHyphens w:val="true"/>
              <w:spacing w:lineRule="auto" w:line="240" w:before="0" w:after="0"/>
              <w:jc w:val="both"/>
              <w:textAlignment w:val="baseline"/>
              <w:rPr>
                <w:rFonts w:ascii="Arial" w:hAnsi="Arial" w:cs="Arial"/>
                <w:bCs/>
              </w:rPr>
            </w:pPr>
            <w:r>
              <w:rPr>
                <w:rFonts w:cs="Arial" w:ascii="Arial" w:hAnsi="Arial"/>
                <w:bCs/>
                <w:sz w:val="22"/>
                <w:szCs w:val="22"/>
                <w:lang w:val="lt-LT" w:eastAsia="en-US" w:bidi="ar-SA"/>
              </w:rPr>
            </w:r>
          </w:p>
          <w:p>
            <w:pPr>
              <w:pStyle w:val="ListParagraph"/>
              <w:widowControl/>
              <w:suppressAutoHyphens w:val="true"/>
              <w:spacing w:lineRule="auto" w:line="240" w:before="0" w:after="0"/>
              <w:ind w:left="0"/>
              <w:contextualSpacing/>
              <w:jc w:val="both"/>
              <w:rPr>
                <w:rFonts w:ascii="Arial" w:hAnsi="Arial" w:cs="Arial"/>
                <w:bCs/>
                <w:i/>
                <w:i/>
                <w:iCs/>
              </w:rPr>
            </w:pPr>
            <w:r>
              <w:rPr>
                <w:rFonts w:cs="Arial" w:ascii="Arial" w:hAnsi="Arial"/>
                <w:bCs/>
                <w:i/>
                <w:iCs/>
                <w:sz w:val="22"/>
                <w:szCs w:val="22"/>
                <w:lang w:val="lt-LT" w:eastAsia="en-US" w:bidi="ar-SA"/>
              </w:rPr>
              <w:t>CVP IS priemonėmis pateikiamos skaitmeninės dokumentų kopijos. </w:t>
            </w:r>
          </w:p>
        </w:tc>
        <w:tc>
          <w:tcPr>
            <w:tcW w:w="3619" w:type="dxa"/>
            <w:vMerge w:val="continue"/>
            <w:tcBorders/>
          </w:tcPr>
          <w:p>
            <w:pPr>
              <w:pStyle w:val="ListParagraph"/>
              <w:widowControl/>
              <w:suppressAutoHyphens w:val="true"/>
              <w:spacing w:lineRule="auto" w:line="240" w:before="0" w:after="0"/>
              <w:ind w:left="0"/>
              <w:contextualSpacing/>
              <w:jc w:val="both"/>
              <w:rPr>
                <w:rFonts w:ascii="Arial" w:hAnsi="Arial" w:cs="Arial"/>
                <w:bCs/>
              </w:rPr>
            </w:pPr>
            <w:r>
              <w:rPr>
                <w:rFonts w:cs="Arial" w:ascii="Arial" w:hAnsi="Arial"/>
                <w:bCs/>
                <w:sz w:val="22"/>
                <w:szCs w:val="22"/>
                <w:lang w:val="lt-LT" w:eastAsia="en-US" w:bidi="ar-SA"/>
              </w:rPr>
            </w:r>
          </w:p>
        </w:tc>
      </w:tr>
    </w:tbl>
    <w:p>
      <w:pPr>
        <w:pStyle w:val="ListParagraph"/>
        <w:spacing w:lineRule="auto" w:line="240" w:before="0" w:after="0"/>
        <w:ind w:firstLine="567" w:left="0"/>
        <w:contextualSpacing/>
        <w:jc w:val="both"/>
        <w:rPr>
          <w:rFonts w:ascii="Arial" w:hAnsi="Arial" w:cs="Arial"/>
          <w:b/>
        </w:rPr>
      </w:pPr>
      <w:r>
        <w:rPr>
          <w:rFonts w:cs="Arial" w:ascii="Arial" w:hAnsi="Arial"/>
          <w:b/>
        </w:rPr>
      </w:r>
    </w:p>
    <w:sectPr>
      <w:headerReference w:type="even" r:id="rId12"/>
      <w:headerReference w:type="default" r:id="rId13"/>
      <w:headerReference w:type="first" r:id="rId14"/>
      <w:footnotePr>
        <w:numFmt w:val="decimal"/>
      </w:footnotePr>
      <w:type w:val="nextPage"/>
      <w:pgSz w:orient="landscape" w:w="16838" w:h="11906"/>
      <w:pgMar w:left="1701" w:right="567" w:gutter="0" w:header="397" w:top="1276" w:footer="0" w:bottom="1134"/>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w:charset w:val="00"/>
    <w:family w:val="swiss"/>
    <w:pitch w:val="variable"/>
  </w:font>
  <w:font w:name="Aptos Display">
    <w:charset w:val="00"/>
    <w:family w:val="swiss"/>
    <w:pitch w:val="variable"/>
  </w:font>
  <w:font w:name="Aptos Display">
    <w:charset w:val="00"/>
    <w:family w:val="roman"/>
    <w:pitch w:val="variable"/>
  </w:font>
  <w:font w:name="Segoe UI">
    <w:charset w:val="00"/>
    <w:family w:val="swiss"/>
    <w:pitch w:val="variable"/>
  </w:font>
  <w:font w:name="Liberation Sans">
    <w:altName w:val="Arial"/>
    <w:charset w:val="00"/>
    <w:family w:val="swiss"/>
    <w:pitch w:val="variable"/>
  </w:font>
  <w:font w:name="Verdana">
    <w:charset w:val="00"/>
    <w:family w:val="swiss"/>
    <w:pitch w:val="variable"/>
  </w:font>
  <w:font w:name="Calibri">
    <w:charset w:val="00"/>
    <w:family w:val="swiss"/>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ascii="Calibri" w:hAnsi="Calibri"/>
          <w:i/>
          <w:iCs/>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2"/>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2"/>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3"/>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3"/>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4"/>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4"/>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 xml:space="preserve">Atviro konkurso Specialiųjų sąlygų 4 priedas </w:t>
    </w:r>
  </w:p>
  <w:p>
    <w:pPr>
      <w:pStyle w:val="Header"/>
      <w:jc w:val="right"/>
      <w:rPr>
        <w:rFonts w:ascii="Arial" w:hAnsi="Arial" w:cs="Arial"/>
        <w:sz w:val="22"/>
        <w:szCs w:val="22"/>
      </w:rPr>
    </w:pPr>
    <w:r>
      <w:rPr>
        <w:rFonts w:cs="Arial" w:ascii="Arial" w:hAnsi="Arial"/>
        <w:sz w:val="22"/>
        <w:szCs w:val="22"/>
      </w:rPr>
      <w:t>„</w:t>
    </w:r>
    <w:r>
      <w:rPr>
        <w:rFonts w:cs="Arial" w:ascii="Arial" w:hAnsi="Arial"/>
        <w:sz w:val="22"/>
        <w:szCs w:val="22"/>
      </w:rPr>
      <w:t>Reikalavimai tiekėjų kvalifikacijai“</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 xml:space="preserve">Atviro konkurso Specialiųjų sąlygų 4 priedas </w:t>
    </w:r>
  </w:p>
  <w:p>
    <w:pPr>
      <w:pStyle w:val="Header"/>
      <w:jc w:val="right"/>
      <w:rPr>
        <w:rFonts w:ascii="Arial" w:hAnsi="Arial" w:cs="Arial"/>
        <w:sz w:val="22"/>
        <w:szCs w:val="22"/>
      </w:rPr>
    </w:pPr>
    <w:r>
      <w:rPr>
        <w:rFonts w:cs="Arial" w:ascii="Arial" w:hAnsi="Arial"/>
        <w:sz w:val="22"/>
        <w:szCs w:val="22"/>
      </w:rPr>
      <w:t>„</w:t>
    </w:r>
    <w:r>
      <w:rPr>
        <w:rFonts w:cs="Arial" w:ascii="Arial" w:hAnsi="Arial"/>
        <w:sz w:val="22"/>
        <w:szCs w:val="22"/>
      </w:rPr>
      <w:t>Reikalavimai tiekėjų kvalifikacijai“</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7849"/>
    <w:pPr>
      <w:widowControl/>
      <w:suppressAutoHyphens w:val="true"/>
      <w:bidi w:val="0"/>
      <w:spacing w:lineRule="auto" w:line="276" w:before="0" w:after="200"/>
      <w:jc w:val="left"/>
    </w:pPr>
    <w:rPr>
      <w:rFonts w:ascii="Aptos" w:hAnsi="Aptos" w:eastAsia="Aptos" w:cs=""/>
      <w:color w:val="auto"/>
      <w:kern w:val="0"/>
      <w:sz w:val="22"/>
      <w:szCs w:val="22"/>
      <w:lang w:val="lt-LT" w:eastAsia="en-US" w:bidi="ar-SA"/>
      <w14:ligatures w14:val="none"/>
    </w:rPr>
  </w:style>
  <w:style w:type="paragraph" w:styleId="Heading1">
    <w:name w:val="heading 1"/>
    <w:basedOn w:val="Normal"/>
    <w:next w:val="Normal"/>
    <w:link w:val="Antrat1Diagrama"/>
    <w:uiPriority w:val="9"/>
    <w:qFormat/>
    <w:rsid w:val="00a64d00"/>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a64d00"/>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a64d00"/>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a64d00"/>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a64d00"/>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a64d00"/>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a64d00"/>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a64d00"/>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a64d00"/>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a64d00"/>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a64d00"/>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a64d00"/>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a64d00"/>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a64d00"/>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a64d00"/>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a64d00"/>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a64d00"/>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a64d00"/>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a64d00"/>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a64d00"/>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a64d00"/>
    <w:rPr>
      <w:i/>
      <w:iCs/>
      <w:color w:themeColor="text1" w:themeTint="bf" w:val="404040"/>
    </w:rPr>
  </w:style>
  <w:style w:type="character" w:styleId="IntenseEmphasis">
    <w:name w:val="Intense Emphasis"/>
    <w:basedOn w:val="DefaultParagraphFont"/>
    <w:uiPriority w:val="21"/>
    <w:qFormat/>
    <w:rsid w:val="00a64d00"/>
    <w:rPr>
      <w:i/>
      <w:iCs/>
      <w:color w:themeColor="accent1" w:themeShade="bf" w:val="0F4761"/>
    </w:rPr>
  </w:style>
  <w:style w:type="character" w:styleId="IskirtacitataDiagrama" w:customStyle="1">
    <w:name w:val="Išskirta citata Diagrama"/>
    <w:basedOn w:val="DefaultParagraphFont"/>
    <w:link w:val="IntenseQuote"/>
    <w:uiPriority w:val="30"/>
    <w:qFormat/>
    <w:rsid w:val="00a64d00"/>
    <w:rPr>
      <w:i/>
      <w:iCs/>
      <w:color w:themeColor="accent1" w:themeShade="bf" w:val="0F4761"/>
    </w:rPr>
  </w:style>
  <w:style w:type="character" w:styleId="IntenseReference">
    <w:name w:val="Intense Reference"/>
    <w:basedOn w:val="DefaultParagraphFont"/>
    <w:uiPriority w:val="32"/>
    <w:qFormat/>
    <w:rsid w:val="00a64d00"/>
    <w:rPr>
      <w:b/>
      <w:bCs/>
      <w:smallCaps/>
      <w:color w:themeColor="accent1" w:themeShade="bf" w:val="0F4761"/>
      <w:spacing w:val="5"/>
    </w:rPr>
  </w:style>
  <w:style w:type="character" w:styleId="PuslapioinaostekstasDiagrama" w:customStyle="1">
    <w:name w:val="Puslapio išnašos tekstas Diagrama"/>
    <w:basedOn w:val="DefaultParagraphFont"/>
    <w:uiPriority w:val="99"/>
    <w:qFormat/>
    <w:rsid w:val="00ae7849"/>
    <w:rPr>
      <w:rFonts w:ascii="Times New Roman" w:hAnsi="Times New Roman" w:eastAsia="Times New Roman" w:cs="Times New Roman"/>
      <w:kern w:val="0"/>
      <w:sz w:val="20"/>
      <w:szCs w:val="20"/>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basedOn w:val="DefaultParagraphFont"/>
    <w:uiPriority w:val="99"/>
    <w:qFormat/>
    <w:rsid w:val="00ae7849"/>
    <w:rPr>
      <w:vertAlign w:val="superscript"/>
    </w:rPr>
  </w:style>
  <w:style w:type="character" w:styleId="SraopastraipaDiagrama" w:customStyle="1">
    <w:name w:val="Sąrašo pastraipa Diagrama"/>
    <w:basedOn w:val="DefaultParagraphFont"/>
    <w:link w:val="ListParagraph"/>
    <w:uiPriority w:val="34"/>
    <w:qFormat/>
    <w:locked/>
    <w:rsid w:val="00ae7849"/>
    <w:rPr/>
  </w:style>
  <w:style w:type="character" w:styleId="InternetLink" w:customStyle="1">
    <w:name w:val="Internet Link"/>
    <w:basedOn w:val="DefaultParagraphFont"/>
    <w:uiPriority w:val="99"/>
    <w:unhideWhenUsed/>
    <w:qFormat/>
    <w:rsid w:val="00ae7849"/>
    <w:rPr>
      <w:color w:val="0000FF"/>
      <w:u w:val="single"/>
    </w:rPr>
  </w:style>
  <w:style w:type="character" w:styleId="BetarpDiagrama" w:customStyle="1">
    <w:name w:val="Be tarpų Diagrama"/>
    <w:basedOn w:val="DefaultParagraphFont"/>
    <w:link w:val="NoSpacing"/>
    <w:uiPriority w:val="1"/>
    <w:qFormat/>
    <w:rsid w:val="00ae7849"/>
    <w:rPr>
      <w:rFonts w:eastAsia="" w:eastAsiaTheme="minorEastAsia"/>
      <w:kern w:val="0"/>
      <w:sz w:val="21"/>
      <w:szCs w:val="21"/>
      <w:lang w:eastAsia="lt-LT"/>
      <w14:ligatures w14:val="none"/>
    </w:rPr>
  </w:style>
  <w:style w:type="character" w:styleId="Neapdorotaspaminjimas1" w:customStyle="1">
    <w:name w:val="Neapdorotas paminėjimas1"/>
    <w:basedOn w:val="DefaultParagraphFont"/>
    <w:uiPriority w:val="99"/>
    <w:semiHidden/>
    <w:unhideWhenUsed/>
    <w:qFormat/>
    <w:rsid w:val="0053312f"/>
    <w:rPr>
      <w:color w:val="605E5C"/>
      <w:shd w:fill="E1DFDD" w:val="clear"/>
    </w:rPr>
  </w:style>
  <w:style w:type="character" w:styleId="CommentReference">
    <w:name w:val="annotation reference"/>
    <w:basedOn w:val="DefaultParagraphFont"/>
    <w:uiPriority w:val="99"/>
    <w:semiHidden/>
    <w:unhideWhenUsed/>
    <w:qFormat/>
    <w:rsid w:val="0053312f"/>
    <w:rPr>
      <w:sz w:val="16"/>
      <w:szCs w:val="16"/>
    </w:rPr>
  </w:style>
  <w:style w:type="character" w:styleId="KomentarotekstasDiagrama" w:customStyle="1">
    <w:name w:val="Komentaro tekstas Diagrama"/>
    <w:basedOn w:val="DefaultParagraphFont"/>
    <w:uiPriority w:val="99"/>
    <w:qFormat/>
    <w:rsid w:val="0053312f"/>
    <w:rPr>
      <w:kern w:val="0"/>
      <w:sz w:val="20"/>
      <w:szCs w:val="20"/>
      <w14:ligatures w14:val="none"/>
    </w:rPr>
  </w:style>
  <w:style w:type="character" w:styleId="KomentarotemaDiagrama" w:customStyle="1">
    <w:name w:val="Komentaro tema Diagrama"/>
    <w:basedOn w:val="KomentarotekstasDiagrama"/>
    <w:link w:val="annotationsubject"/>
    <w:uiPriority w:val="99"/>
    <w:semiHidden/>
    <w:qFormat/>
    <w:rsid w:val="0053312f"/>
    <w:rPr>
      <w:b/>
      <w:bCs/>
      <w:kern w:val="0"/>
      <w:sz w:val="20"/>
      <w:szCs w:val="20"/>
      <w14:ligatures w14:val="none"/>
    </w:rPr>
  </w:style>
  <w:style w:type="character" w:styleId="FollowedHyperlink">
    <w:name w:val="FollowedHyperlink"/>
    <w:basedOn w:val="DefaultParagraphFont"/>
    <w:uiPriority w:val="99"/>
    <w:semiHidden/>
    <w:unhideWhenUsed/>
    <w:rsid w:val="00315523"/>
    <w:rPr>
      <w:color w:themeColor="followedHyperlink" w:val="96607D"/>
      <w:u w:val="single"/>
    </w:rPr>
  </w:style>
  <w:style w:type="character" w:styleId="AntratsDiagrama" w:customStyle="1">
    <w:name w:val="Antraštės Diagrama"/>
    <w:basedOn w:val="DefaultParagraphFont"/>
    <w:uiPriority w:val="99"/>
    <w:qFormat/>
    <w:rsid w:val="00c03549"/>
    <w:rPr>
      <w:sz w:val="24"/>
      <w:szCs w:val="24"/>
    </w:rPr>
  </w:style>
  <w:style w:type="character" w:styleId="DebesliotekstasDiagrama" w:customStyle="1">
    <w:name w:val="Debesėlio tekstas Diagrama"/>
    <w:basedOn w:val="DefaultParagraphFont"/>
    <w:link w:val="BalloonText"/>
    <w:uiPriority w:val="99"/>
    <w:semiHidden/>
    <w:qFormat/>
    <w:rsid w:val="00291099"/>
    <w:rPr>
      <w:rFonts w:ascii="Segoe UI" w:hAnsi="Segoe UI" w:cs="Segoe UI"/>
      <w:kern w:val="0"/>
      <w:sz w:val="18"/>
      <w:szCs w:val="18"/>
      <w14:ligatures w14:val="none"/>
    </w:rPr>
  </w:style>
  <w:style w:type="character" w:styleId="PoratDiagrama" w:customStyle="1">
    <w:name w:val="Poraštė Diagrama"/>
    <w:basedOn w:val="DefaultParagraphFont"/>
    <w:uiPriority w:val="99"/>
    <w:qFormat/>
    <w:rsid w:val="00406b01"/>
    <w:rPr>
      <w:kern w:val="0"/>
      <w14:ligatures w14:val="none"/>
    </w:rPr>
  </w:style>
  <w:style w:type="character" w:styleId="InternetLink1" w:customStyle="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Galinsinaosramenys" w:customStyle="1">
    <w:name w:val="Galinės išnašos rašmenys"/>
    <w:qFormat/>
    <w:rPr/>
  </w:style>
  <w:style w:type="character" w:styleId="InternetLink2">
    <w:name w:val="Internet Link2"/>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40"/>
    </w:pPr>
    <w:rPr/>
  </w:style>
  <w:style w:type="paragraph" w:styleId="List">
    <w:name w:val="List"/>
    <w:basedOn w:val="BodyText"/>
    <w:pPr/>
    <w:rPr>
      <w:rFonts w:cs="Lucida Sans"/>
    </w:rPr>
  </w:style>
  <w:style w:type="paragraph" w:styleId="Caption">
    <w:name w:val="caption"/>
    <w:basedOn w:val="Normal"/>
    <w:next w:val="BodyText"/>
    <w:uiPriority w:val="35"/>
    <w:unhideWhenUsed/>
    <w:qFormat/>
    <w:rsid w:val="00430859"/>
    <w:pPr>
      <w:spacing w:lineRule="auto" w:line="240"/>
    </w:pPr>
    <w:rPr>
      <w:i/>
      <w:iCs/>
      <w:color w:themeColor="text2" w:val="0E2841"/>
      <w:sz w:val="18"/>
      <w:szCs w:val="18"/>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a64d00"/>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a64d00"/>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a64d00"/>
    <w:pPr>
      <w:spacing w:before="160" w:after="200"/>
      <w:jc w:val="center"/>
    </w:pPr>
    <w:rPr>
      <w:i/>
      <w:iCs/>
      <w:color w:themeColor="text1" w:themeTint="bf" w:val="404040"/>
    </w:rPr>
  </w:style>
  <w:style w:type="paragraph" w:styleId="ListParagraph">
    <w:name w:val="List Paragraph"/>
    <w:basedOn w:val="Normal"/>
    <w:link w:val="SraopastraipaDiagrama"/>
    <w:uiPriority w:val="34"/>
    <w:qFormat/>
    <w:rsid w:val="00a64d00"/>
    <w:pPr>
      <w:spacing w:before="0" w:after="200"/>
      <w:ind w:left="720"/>
      <w:contextualSpacing/>
    </w:pPr>
    <w:rPr/>
  </w:style>
  <w:style w:type="paragraph" w:styleId="IntenseQuote">
    <w:name w:val="Intense Quote"/>
    <w:basedOn w:val="Normal"/>
    <w:next w:val="Normal"/>
    <w:link w:val="IskirtacitataDiagrama"/>
    <w:uiPriority w:val="30"/>
    <w:qFormat/>
    <w:rsid w:val="00a64d00"/>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FootnoteText">
    <w:name w:val="footnote text"/>
    <w:basedOn w:val="Normal"/>
    <w:link w:val="PuslapioinaostekstasDiagrama"/>
    <w:uiPriority w:val="99"/>
    <w:rsid w:val="00ae7849"/>
    <w:pPr>
      <w:spacing w:lineRule="auto" w:line="240" w:before="0" w:after="0"/>
    </w:pPr>
    <w:rPr>
      <w:rFonts w:ascii="Times New Roman" w:hAnsi="Times New Roman" w:eastAsia="Times New Roman" w:cs="Times New Roman"/>
      <w:sz w:val="20"/>
      <w:szCs w:val="20"/>
    </w:rPr>
  </w:style>
  <w:style w:type="paragraph" w:styleId="NoSpacing">
    <w:name w:val="No Spacing"/>
    <w:link w:val="BetarpDiagrama"/>
    <w:uiPriority w:val="1"/>
    <w:qFormat/>
    <w:rsid w:val="00ae7849"/>
    <w:pPr>
      <w:widowControl/>
      <w:suppressAutoHyphens w:val="true"/>
      <w:bidi w:val="0"/>
      <w:spacing w:before="0" w:after="0"/>
      <w:jc w:val="left"/>
    </w:pPr>
    <w:rPr>
      <w:rFonts w:ascii="Aptos" w:hAnsi="Aptos" w:eastAsia="" w:eastAsiaTheme="minorEastAsia" w:cs=""/>
      <w:color w:val="auto"/>
      <w:kern w:val="0"/>
      <w:sz w:val="21"/>
      <w:szCs w:val="21"/>
      <w:lang w:eastAsia="lt-LT" w:val="lt-LT" w:bidi="ar-SA"/>
      <w14:ligatures w14:val="none"/>
    </w:rPr>
  </w:style>
  <w:style w:type="paragraph" w:styleId="CommentText">
    <w:name w:val="annotation text"/>
    <w:basedOn w:val="Normal"/>
    <w:link w:val="KomentarotekstasDiagrama"/>
    <w:uiPriority w:val="99"/>
    <w:unhideWhenUsed/>
    <w:rsid w:val="0053312f"/>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53312f"/>
    <w:pPr/>
    <w:rPr>
      <w:b/>
      <w:bCs/>
    </w:rPr>
  </w:style>
  <w:style w:type="paragraph" w:styleId="Revision">
    <w:name w:val="Revision"/>
    <w:uiPriority w:val="99"/>
    <w:semiHidden/>
    <w:qFormat/>
    <w:rsid w:val="00c935fb"/>
    <w:pPr>
      <w:widowControl/>
      <w:suppressAutoHyphens w:val="true"/>
      <w:bidi w:val="0"/>
      <w:spacing w:before="0" w:after="0"/>
      <w:jc w:val="left"/>
    </w:pPr>
    <w:rPr>
      <w:rFonts w:ascii="Aptos" w:hAnsi="Aptos" w:eastAsia="Aptos" w:cs=""/>
      <w:color w:val="auto"/>
      <w:kern w:val="0"/>
      <w:sz w:val="22"/>
      <w:szCs w:val="22"/>
      <w:lang w:val="lt-LT" w:eastAsia="en-US" w:bidi="ar-SA"/>
      <w14:ligatures w14:val="none"/>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03549"/>
    <w:pPr>
      <w:tabs>
        <w:tab w:val="clear" w:pos="1296"/>
        <w:tab w:val="center" w:pos="4819" w:leader="none"/>
        <w:tab w:val="right" w:pos="9638" w:leader="none"/>
      </w:tabs>
      <w:spacing w:lineRule="auto" w:line="240" w:before="0" w:after="0"/>
    </w:pPr>
    <w:rPr>
      <w:kern w:val="2"/>
      <w:sz w:val="24"/>
      <w:szCs w:val="24"/>
      <w14:ligatures w14:val="standardContextual"/>
    </w:rPr>
  </w:style>
  <w:style w:type="paragraph" w:styleId="BalloonText">
    <w:name w:val="Balloon Text"/>
    <w:basedOn w:val="Normal"/>
    <w:link w:val="DebesliotekstasDiagrama"/>
    <w:uiPriority w:val="99"/>
    <w:semiHidden/>
    <w:unhideWhenUsed/>
    <w:qFormat/>
    <w:rsid w:val="00291099"/>
    <w:pPr>
      <w:spacing w:lineRule="auto" w:line="240" w:before="0" w:after="0"/>
    </w:pPr>
    <w:rPr>
      <w:rFonts w:ascii="Segoe UI" w:hAnsi="Segoe UI" w:cs="Segoe UI"/>
      <w:sz w:val="18"/>
      <w:szCs w:val="18"/>
    </w:rPr>
  </w:style>
  <w:style w:type="paragraph" w:styleId="Footer">
    <w:name w:val="footer"/>
    <w:basedOn w:val="Normal"/>
    <w:link w:val="PoratDiagrama"/>
    <w:uiPriority w:val="99"/>
    <w:unhideWhenUsed/>
    <w:rsid w:val="00406b01"/>
    <w:pPr>
      <w:tabs>
        <w:tab w:val="clear" w:pos="1296"/>
        <w:tab w:val="center" w:pos="4819" w:leader="none"/>
        <w:tab w:val="right" w:pos="9638" w:leader="none"/>
      </w:tabs>
      <w:spacing w:lineRule="auto" w:line="240" w:before="0" w:after="0"/>
    </w:pPr>
    <w:rPr/>
  </w:style>
  <w:style w:type="paragraph" w:styleId="Kadroturinys" w:customStyle="1">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ae784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pasalinimo-pagrindai-1/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yperlink" Target="https://kt.gov.lt/lt/atviri-duomenys/diskvalifikavimas-is-viesuju-pirkimu" TargetMode="External"/><Relationship Id="rId11" Type="http://schemas.openxmlformats.org/officeDocument/2006/relationships/hyperlink" Target="https://www.lb.lt/lt/finansu-rinku-dalyviai?ff=1&amp;market=2"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2046F-10EE-457B-B38D-5A3C2310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LibreOffice/24.8.0.3$Windows_X86_64 LibreOffice_project/0bdf1299c94fe897b119f97f3c613e9dca6be583</Application>
  <AppVersion>15.0000</AppVersion>
  <Pages>12</Pages>
  <Words>3456</Words>
  <Characters>24705</Characters>
  <CharactersWithSpaces>28003</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2026-07-28T09:05:00Z</dcterms:created>
  <dc:creator>Sandra Metlovaitė | VMU</dc:creator>
  <dc:description/>
  <dc:language>lt-LT</dc:language>
  <cp:lastModifiedBy/>
  <dcterms:modified xsi:type="dcterms:W3CDTF">2026-07-28T13:33:40Z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